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47" w:rsidRPr="002559C9" w:rsidRDefault="002559C9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19318B" w:rsidRPr="002559C9" w:rsidRDefault="0019318B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 (dále jen „zákon“)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F2A7C" w:rsidRPr="00EE46E5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0769F5" w:rsidRDefault="00E16B66" w:rsidP="00FD55D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840740">
              <w:rPr>
                <w:rFonts w:ascii="Arial" w:hAnsi="Arial" w:cs="Arial"/>
                <w:b/>
                <w:sz w:val="22"/>
                <w:szCs w:val="22"/>
              </w:rPr>
              <w:t>405 Zašovice</w:t>
            </w:r>
            <w:r w:rsidR="00FD55D0">
              <w:rPr>
                <w:rFonts w:ascii="Arial" w:hAnsi="Arial" w:cs="Arial"/>
                <w:b/>
                <w:sz w:val="22"/>
                <w:szCs w:val="22"/>
              </w:rPr>
              <w:t xml:space="preserve"> - obchvat</w:t>
            </w:r>
            <w:r w:rsidR="00917EAE"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DA03AF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0D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</w:tc>
      </w:tr>
      <w:tr w:rsidR="00F63462" w:rsidRPr="00EE46E5" w:rsidTr="002559C9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Kontaktní osoba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>ve věcech zadání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3F00B0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Ing. Lukáš Valenta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87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valenta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  <w:tr w:rsidR="00F63462" w:rsidRPr="00EE46E5" w:rsidTr="002559C9">
        <w:trPr>
          <w:trHeight w:val="58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 ve věcech technických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215AD0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840740">
              <w:rPr>
                <w:rFonts w:ascii="Arial" w:hAnsi="Arial" w:cs="Arial"/>
                <w:sz w:val="22"/>
                <w:szCs w:val="22"/>
              </w:rPr>
              <w:t>Miroslav Dokulil</w:t>
            </w:r>
          </w:p>
          <w:p w:rsidR="00F63462" w:rsidRPr="00A91754" w:rsidRDefault="00E3445B" w:rsidP="00FD55D0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840740">
              <w:rPr>
                <w:rFonts w:ascii="Arial" w:hAnsi="Arial" w:cs="Arial"/>
                <w:sz w:val="22"/>
                <w:szCs w:val="22"/>
              </w:rPr>
              <w:t>222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 </w:t>
            </w:r>
            <w:r w:rsidR="00A91754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="00840740">
              <w:rPr>
                <w:rFonts w:ascii="Arial" w:hAnsi="Arial" w:cs="Arial"/>
                <w:sz w:val="22"/>
                <w:szCs w:val="22"/>
              </w:rPr>
              <w:t>dokulil.m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@kr-vysocina.cz; </w:t>
            </w:r>
          </w:p>
        </w:tc>
      </w:tr>
    </w:tbl>
    <w:p w:rsidR="00F63462" w:rsidRDefault="00F63462" w:rsidP="00F63462"/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FB4191" w:rsidRDefault="006D6889" w:rsidP="0071043B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Veřejná zakázka je</w:t>
      </w:r>
      <w:r w:rsidR="00F63462" w:rsidRPr="00EE46E5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EE46E5">
        <w:rPr>
          <w:rFonts w:cs="Arial"/>
          <w:szCs w:val="22"/>
          <w:lang w:eastAsia="ar-SA"/>
        </w:rPr>
        <w:t xml:space="preserve">e </w:t>
      </w:r>
      <w:r w:rsidR="00122F4C" w:rsidRPr="00EE46E5">
        <w:rPr>
          <w:rFonts w:cs="Arial"/>
          <w:szCs w:val="22"/>
          <w:lang w:eastAsia="ar-SA"/>
        </w:rPr>
        <w:t>vypracování</w:t>
      </w:r>
      <w:r w:rsidR="0093015C">
        <w:rPr>
          <w:rFonts w:cs="Arial"/>
          <w:szCs w:val="22"/>
          <w:lang w:eastAsia="ar-SA"/>
        </w:rPr>
        <w:t xml:space="preserve"> projektové dokumentace pro vydání územního rozhodnutí (dále jen „DÚR“) včetně zajištění pravomocného územního rozhodnutí,</w:t>
      </w:r>
      <w:r w:rsidR="00122F4C" w:rsidRPr="00EE46E5">
        <w:rPr>
          <w:rFonts w:cs="Arial"/>
          <w:szCs w:val="22"/>
          <w:lang w:eastAsia="ar-SA"/>
        </w:rPr>
        <w:t xml:space="preserve"> projektové</w:t>
      </w:r>
      <w:r w:rsidR="00B030C5" w:rsidRPr="00EE46E5">
        <w:rPr>
          <w:rFonts w:cs="Arial"/>
          <w:szCs w:val="22"/>
          <w:lang w:eastAsia="ar-SA"/>
        </w:rPr>
        <w:t xml:space="preserve"> dokumentace pro vydání stavebního povolení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DSP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 xml:space="preserve">) </w:t>
      </w:r>
      <w:r w:rsidR="001450FF" w:rsidRPr="00EE46E5">
        <w:rPr>
          <w:rFonts w:cs="Arial"/>
          <w:szCs w:val="22"/>
          <w:lang w:eastAsia="ar-SA"/>
        </w:rPr>
        <w:t xml:space="preserve">včetně </w:t>
      </w:r>
      <w:r w:rsidR="001450FF" w:rsidRPr="00BF2A7C">
        <w:rPr>
          <w:rFonts w:cs="Arial"/>
          <w:spacing w:val="-2"/>
          <w:szCs w:val="22"/>
          <w:lang w:eastAsia="ar-SA"/>
        </w:rPr>
        <w:t>zajištění pravomocn</w:t>
      </w:r>
      <w:r w:rsidR="00855D84" w:rsidRPr="00BF2A7C">
        <w:rPr>
          <w:rFonts w:cs="Arial"/>
          <w:spacing w:val="-2"/>
          <w:szCs w:val="22"/>
          <w:lang w:eastAsia="ar-SA"/>
        </w:rPr>
        <w:t>ého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stavební</w:t>
      </w:r>
      <w:r w:rsidR="00855D84" w:rsidRPr="00BF2A7C">
        <w:rPr>
          <w:rFonts w:cs="Arial"/>
          <w:spacing w:val="-2"/>
          <w:szCs w:val="22"/>
          <w:lang w:eastAsia="ar-SA"/>
        </w:rPr>
        <w:t>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povolení </w:t>
      </w:r>
      <w:r w:rsidR="00B030C5" w:rsidRPr="00BF2A7C">
        <w:rPr>
          <w:rFonts w:cs="Arial"/>
          <w:spacing w:val="-2"/>
          <w:szCs w:val="22"/>
          <w:lang w:eastAsia="ar-SA"/>
        </w:rPr>
        <w:t xml:space="preserve">a </w:t>
      </w:r>
      <w:r w:rsidR="00E3445B" w:rsidRPr="00BF2A7C">
        <w:rPr>
          <w:rFonts w:cs="Arial"/>
          <w:spacing w:val="-2"/>
          <w:szCs w:val="22"/>
          <w:lang w:eastAsia="ar-SA"/>
        </w:rPr>
        <w:t>zpracování</w:t>
      </w:r>
      <w:r w:rsidR="00B030C5" w:rsidRPr="00BF2A7C">
        <w:rPr>
          <w:rFonts w:cs="Arial"/>
          <w:spacing w:val="-2"/>
          <w:szCs w:val="22"/>
          <w:lang w:eastAsia="ar-SA"/>
        </w:rPr>
        <w:t xml:space="preserve"> projektové dokumentace pro provádění</w:t>
      </w:r>
      <w:r w:rsidR="00B030C5" w:rsidRPr="00EE46E5">
        <w:rPr>
          <w:rFonts w:cs="Arial"/>
          <w:szCs w:val="22"/>
          <w:lang w:eastAsia="ar-SA"/>
        </w:rPr>
        <w:t xml:space="preserve"> stavby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PDPS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>)</w:t>
      </w:r>
      <w:r w:rsidR="001450FF" w:rsidRPr="00EE46E5">
        <w:rPr>
          <w:rFonts w:cs="Arial"/>
          <w:szCs w:val="22"/>
          <w:lang w:eastAsia="ar-SA"/>
        </w:rPr>
        <w:t xml:space="preserve"> vč. soupisu prací a rozpočtu</w:t>
      </w:r>
      <w:r w:rsidR="00122F4C" w:rsidRPr="00EE46E5">
        <w:rPr>
          <w:rFonts w:cs="Arial"/>
          <w:szCs w:val="22"/>
          <w:lang w:eastAsia="ar-SA"/>
        </w:rPr>
        <w:t xml:space="preserve"> </w:t>
      </w:r>
      <w:r w:rsidR="00ED78AF" w:rsidRPr="00EE46E5">
        <w:rPr>
          <w:rFonts w:cs="Arial"/>
          <w:szCs w:val="22"/>
          <w:lang w:eastAsia="ar-SA"/>
        </w:rPr>
        <w:t>akce „</w:t>
      </w:r>
      <w:r w:rsidR="0093015C">
        <w:rPr>
          <w:rFonts w:cs="Arial"/>
          <w:b/>
          <w:szCs w:val="22"/>
        </w:rPr>
        <w:t>II/</w:t>
      </w:r>
      <w:r w:rsidR="00840740">
        <w:rPr>
          <w:rFonts w:cs="Arial"/>
          <w:b/>
          <w:szCs w:val="22"/>
        </w:rPr>
        <w:t>405 Zašovice</w:t>
      </w:r>
      <w:r w:rsidR="00FD55D0">
        <w:rPr>
          <w:rFonts w:cs="Arial"/>
          <w:b/>
          <w:szCs w:val="22"/>
        </w:rPr>
        <w:t xml:space="preserve"> - obchvat</w:t>
      </w:r>
      <w:r w:rsidR="00917EAE" w:rsidRPr="00EE46E5">
        <w:rPr>
          <w:rFonts w:cs="Arial"/>
          <w:szCs w:val="22"/>
          <w:lang w:eastAsia="ar-SA"/>
        </w:rPr>
        <w:t xml:space="preserve">“. </w:t>
      </w:r>
    </w:p>
    <w:p w:rsidR="00ED78AF" w:rsidRPr="00EE46E5" w:rsidRDefault="00122F4C" w:rsidP="0071043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</w:t>
      </w:r>
      <w:r w:rsidR="00ED78AF" w:rsidRPr="00EE46E5">
        <w:rPr>
          <w:rFonts w:cs="Arial"/>
          <w:szCs w:val="22"/>
          <w:lang w:eastAsia="ar-SA"/>
        </w:rPr>
        <w:t xml:space="preserve">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:rsidR="00ED78AF" w:rsidRPr="00EE46E5" w:rsidRDefault="00ED78AF" w:rsidP="00ED78AF">
      <w:pPr>
        <w:pStyle w:val="Bntext2"/>
        <w:rPr>
          <w:rFonts w:cs="Arial"/>
          <w:szCs w:val="22"/>
          <w:lang w:eastAsia="ar-SA"/>
        </w:rPr>
      </w:pPr>
    </w:p>
    <w:p w:rsidR="00917EAE" w:rsidRPr="00EE46E5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B6DBE" w:rsidRPr="008E68B3" w:rsidRDefault="00BB6DBE" w:rsidP="00BB6DB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>Projektová dokumentace bude vypracována v</w:t>
      </w:r>
      <w:r w:rsidR="00F15D6E" w:rsidRPr="008E68B3">
        <w:rPr>
          <w:rFonts w:cs="Arial"/>
          <w:spacing w:val="-2"/>
          <w:szCs w:val="22"/>
          <w:lang w:eastAsia="ar-SA"/>
        </w:rPr>
        <w:t> </w:t>
      </w:r>
      <w:r w:rsidRPr="008E68B3">
        <w:rPr>
          <w:rFonts w:cs="Arial"/>
          <w:spacing w:val="-2"/>
          <w:szCs w:val="22"/>
          <w:lang w:eastAsia="ar-SA"/>
        </w:rPr>
        <w:t>návazn</w:t>
      </w:r>
      <w:r w:rsidR="00FB5CE4" w:rsidRPr="008E68B3">
        <w:rPr>
          <w:rFonts w:cs="Arial"/>
          <w:spacing w:val="-2"/>
          <w:szCs w:val="22"/>
          <w:lang w:eastAsia="ar-SA"/>
        </w:rPr>
        <w:t>osti</w:t>
      </w:r>
      <w:r w:rsidR="00BB219D" w:rsidRPr="008E68B3">
        <w:rPr>
          <w:rFonts w:cs="Arial"/>
          <w:spacing w:val="-2"/>
          <w:szCs w:val="22"/>
          <w:lang w:eastAsia="ar-SA"/>
        </w:rPr>
        <w:t xml:space="preserve"> a v souladu se závěry studie</w:t>
      </w:r>
      <w:r w:rsidR="00826756" w:rsidRPr="008E68B3">
        <w:rPr>
          <w:rFonts w:cs="Arial"/>
          <w:b/>
          <w:spacing w:val="-2"/>
          <w:szCs w:val="22"/>
          <w:lang w:eastAsia="ar-SA"/>
        </w:rPr>
        <w:t xml:space="preserve"> </w:t>
      </w:r>
      <w:r w:rsidR="00FD55D0" w:rsidRPr="008E68B3">
        <w:rPr>
          <w:rFonts w:cs="Arial"/>
          <w:b/>
          <w:spacing w:val="-2"/>
          <w:szCs w:val="22"/>
          <w:lang w:eastAsia="ar-SA"/>
        </w:rPr>
        <w:t>Podklady</w:t>
      </w:r>
      <w:r w:rsidR="00FD55D0" w:rsidRPr="008E68B3">
        <w:rPr>
          <w:rFonts w:cs="Arial"/>
          <w:b/>
          <w:szCs w:val="22"/>
          <w:lang w:eastAsia="ar-SA"/>
        </w:rPr>
        <w:t xml:space="preserve"> </w:t>
      </w:r>
      <w:r w:rsidR="00FD55D0" w:rsidRPr="008E68B3">
        <w:rPr>
          <w:rFonts w:cs="Arial"/>
          <w:b/>
          <w:spacing w:val="-2"/>
          <w:szCs w:val="22"/>
          <w:lang w:eastAsia="ar-SA"/>
        </w:rPr>
        <w:t>pro aktualizaci ZÚR krajů a ÚP obcí dotčených transportem NTK v souvislosti s výstavbou</w:t>
      </w:r>
      <w:r w:rsidR="00FD55D0" w:rsidRPr="008E68B3">
        <w:rPr>
          <w:rFonts w:cs="Arial"/>
          <w:b/>
          <w:szCs w:val="22"/>
          <w:lang w:eastAsia="ar-SA"/>
        </w:rPr>
        <w:t xml:space="preserve"> NJZ v lokalitě Dukovany</w:t>
      </w:r>
      <w:r w:rsidR="009353EB" w:rsidRPr="008E68B3">
        <w:rPr>
          <w:rFonts w:cs="Arial"/>
          <w:szCs w:val="22"/>
          <w:lang w:eastAsia="ar-SA"/>
        </w:rPr>
        <w:t xml:space="preserve"> </w:t>
      </w:r>
      <w:r w:rsidR="00673703" w:rsidRPr="008E68B3">
        <w:rPr>
          <w:rFonts w:cs="Arial"/>
          <w:szCs w:val="22"/>
          <w:lang w:eastAsia="ar-SA"/>
        </w:rPr>
        <w:t>zpracované</w:t>
      </w:r>
      <w:r w:rsidR="00794590" w:rsidRPr="008E68B3">
        <w:rPr>
          <w:rFonts w:cs="Arial"/>
          <w:szCs w:val="22"/>
          <w:lang w:eastAsia="ar-SA"/>
        </w:rPr>
        <w:t xml:space="preserve"> v</w:t>
      </w:r>
      <w:r w:rsidR="00FD55D0" w:rsidRPr="008E68B3">
        <w:rPr>
          <w:rFonts w:cs="Arial"/>
          <w:szCs w:val="22"/>
          <w:lang w:eastAsia="ar-SA"/>
        </w:rPr>
        <w:t> 05/2016</w:t>
      </w:r>
      <w:r w:rsidRPr="008E68B3">
        <w:rPr>
          <w:rFonts w:cs="Arial"/>
          <w:szCs w:val="22"/>
          <w:lang w:eastAsia="ar-SA"/>
        </w:rPr>
        <w:t xml:space="preserve"> projekční kanceláří </w:t>
      </w:r>
      <w:r w:rsidR="00CA1F72" w:rsidRPr="008E68B3">
        <w:rPr>
          <w:rFonts w:cs="Arial"/>
          <w:szCs w:val="22"/>
        </w:rPr>
        <w:t>M</w:t>
      </w:r>
      <w:r w:rsidR="002D686F" w:rsidRPr="008E68B3">
        <w:rPr>
          <w:rFonts w:cs="Arial"/>
          <w:szCs w:val="22"/>
        </w:rPr>
        <w:t xml:space="preserve">ETROPROJEKT Praha a.s., nám. </w:t>
      </w:r>
      <w:r w:rsidR="00FD55D0" w:rsidRPr="008E68B3">
        <w:rPr>
          <w:rFonts w:cs="Arial"/>
          <w:szCs w:val="22"/>
        </w:rPr>
        <w:t>I.</w:t>
      </w:r>
      <w:r w:rsidR="002D686F" w:rsidRPr="008E68B3">
        <w:rPr>
          <w:rFonts w:cs="Arial"/>
          <w:szCs w:val="22"/>
        </w:rPr>
        <w:t xml:space="preserve"> </w:t>
      </w:r>
      <w:r w:rsidR="00FD55D0" w:rsidRPr="008E68B3">
        <w:rPr>
          <w:rFonts w:cs="Arial"/>
          <w:szCs w:val="22"/>
        </w:rPr>
        <w:t>P.</w:t>
      </w:r>
      <w:r w:rsidR="002D686F" w:rsidRPr="008E68B3">
        <w:rPr>
          <w:rFonts w:cs="Arial"/>
          <w:szCs w:val="22"/>
        </w:rPr>
        <w:t xml:space="preserve"> </w:t>
      </w:r>
      <w:r w:rsidR="009B1B63">
        <w:rPr>
          <w:rFonts w:cs="Arial"/>
          <w:szCs w:val="22"/>
        </w:rPr>
        <w:t xml:space="preserve">Pavlova </w:t>
      </w:r>
      <w:r w:rsidR="00FD55D0" w:rsidRPr="008E68B3">
        <w:rPr>
          <w:rFonts w:cs="Arial"/>
          <w:szCs w:val="22"/>
        </w:rPr>
        <w:t>1786</w:t>
      </w:r>
      <w:r w:rsidR="009B1B63">
        <w:rPr>
          <w:rFonts w:cs="Arial"/>
          <w:szCs w:val="22"/>
        </w:rPr>
        <w:t>/2</w:t>
      </w:r>
      <w:r w:rsidR="00FD55D0" w:rsidRPr="008E68B3">
        <w:rPr>
          <w:rFonts w:cs="Arial"/>
          <w:szCs w:val="22"/>
        </w:rPr>
        <w:t>, 120 00 Praha 2</w:t>
      </w:r>
      <w:r w:rsidR="008045AB" w:rsidRPr="008E68B3">
        <w:rPr>
          <w:rFonts w:cs="Arial"/>
          <w:szCs w:val="22"/>
        </w:rPr>
        <w:t>.</w:t>
      </w:r>
    </w:p>
    <w:p w:rsidR="00A929E2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A929E2" w:rsidRPr="007714E8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ED4AD7" w:rsidRPr="00F3510F" w:rsidRDefault="00D27AAF" w:rsidP="00F3510F">
      <w:pPr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</w:t>
      </w:r>
      <w:r w:rsidR="00A929E2" w:rsidRPr="00C8527A">
        <w:rPr>
          <w:rFonts w:ascii="Arial" w:hAnsi="Arial" w:cs="Arial"/>
          <w:sz w:val="22"/>
          <w:szCs w:val="22"/>
        </w:rPr>
        <w:t>rojektov</w:t>
      </w:r>
      <w:r w:rsidR="006060DF">
        <w:rPr>
          <w:rFonts w:ascii="Arial" w:hAnsi="Arial" w:cs="Arial"/>
          <w:sz w:val="22"/>
          <w:szCs w:val="22"/>
        </w:rPr>
        <w:t>á</w:t>
      </w:r>
      <w:r w:rsidR="00A929E2" w:rsidRPr="00C8527A">
        <w:rPr>
          <w:rFonts w:ascii="Arial" w:hAnsi="Arial" w:cs="Arial"/>
          <w:sz w:val="22"/>
          <w:szCs w:val="22"/>
        </w:rPr>
        <w:t xml:space="preserve"> dokumen</w:t>
      </w:r>
      <w:r w:rsidR="003536E6" w:rsidRPr="00C8527A">
        <w:rPr>
          <w:rFonts w:ascii="Arial" w:hAnsi="Arial" w:cs="Arial"/>
          <w:sz w:val="22"/>
          <w:szCs w:val="22"/>
        </w:rPr>
        <w:t xml:space="preserve">tace </w:t>
      </w:r>
      <w:r w:rsidRPr="00C8527A">
        <w:rPr>
          <w:rFonts w:ascii="Arial" w:hAnsi="Arial" w:cs="Arial"/>
          <w:sz w:val="22"/>
          <w:szCs w:val="22"/>
        </w:rPr>
        <w:t xml:space="preserve">řeší </w:t>
      </w:r>
      <w:r w:rsidR="00FD55D0">
        <w:rPr>
          <w:rFonts w:ascii="Arial" w:hAnsi="Arial" w:cs="Arial"/>
          <w:sz w:val="22"/>
          <w:szCs w:val="22"/>
        </w:rPr>
        <w:t>novostavbu</w:t>
      </w:r>
      <w:r w:rsidR="003536E6" w:rsidRPr="00C8527A">
        <w:rPr>
          <w:rFonts w:ascii="Arial" w:hAnsi="Arial" w:cs="Arial"/>
          <w:sz w:val="22"/>
          <w:szCs w:val="22"/>
        </w:rPr>
        <w:t xml:space="preserve"> silnice II/</w:t>
      </w:r>
      <w:r w:rsidR="007B5EF8">
        <w:rPr>
          <w:rFonts w:ascii="Arial" w:hAnsi="Arial" w:cs="Arial"/>
          <w:sz w:val="22"/>
          <w:szCs w:val="22"/>
        </w:rPr>
        <w:t>405 v kategorii S 9,5/80</w:t>
      </w:r>
      <w:r w:rsidR="001C26F8">
        <w:rPr>
          <w:rFonts w:ascii="Arial" w:hAnsi="Arial" w:cs="Arial"/>
          <w:sz w:val="22"/>
          <w:szCs w:val="22"/>
        </w:rPr>
        <w:t xml:space="preserve"> jako obchvat obce </w:t>
      </w:r>
      <w:r w:rsidR="00377448" w:rsidRPr="0072776C">
        <w:rPr>
          <w:rFonts w:ascii="Arial" w:hAnsi="Arial" w:cs="Arial"/>
          <w:sz w:val="22"/>
          <w:szCs w:val="22"/>
        </w:rPr>
        <w:t>Zašovice</w:t>
      </w:r>
      <w:r w:rsidR="001C26F8" w:rsidRPr="0072776C">
        <w:rPr>
          <w:rFonts w:ascii="Arial" w:hAnsi="Arial" w:cs="Arial"/>
          <w:sz w:val="22"/>
          <w:szCs w:val="22"/>
        </w:rPr>
        <w:t>.</w:t>
      </w:r>
      <w:r w:rsidR="001C26F8">
        <w:rPr>
          <w:rFonts w:ascii="Arial" w:hAnsi="Arial" w:cs="Arial"/>
          <w:sz w:val="22"/>
          <w:szCs w:val="22"/>
        </w:rPr>
        <w:t xml:space="preserve"> </w:t>
      </w:r>
      <w:r w:rsidR="00C8527A" w:rsidRPr="00F3510F">
        <w:rPr>
          <w:rFonts w:ascii="Arial" w:hAnsi="Arial" w:cs="Arial"/>
          <w:spacing w:val="-4"/>
          <w:sz w:val="22"/>
          <w:szCs w:val="22"/>
        </w:rPr>
        <w:t>Pře</w:t>
      </w:r>
      <w:r w:rsidR="00394C9B" w:rsidRPr="00F3510F">
        <w:rPr>
          <w:rFonts w:ascii="Arial" w:hAnsi="Arial" w:cs="Arial"/>
          <w:spacing w:val="-4"/>
          <w:sz w:val="22"/>
          <w:szCs w:val="22"/>
        </w:rPr>
        <w:t>dmětn</w:t>
      </w:r>
      <w:r w:rsidR="005E1539">
        <w:rPr>
          <w:rFonts w:ascii="Arial" w:hAnsi="Arial" w:cs="Arial"/>
          <w:spacing w:val="-4"/>
          <w:sz w:val="22"/>
          <w:szCs w:val="22"/>
        </w:rPr>
        <w:t>ý</w:t>
      </w:r>
      <w:r w:rsidR="00394C9B"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="005E1539">
        <w:rPr>
          <w:rFonts w:ascii="Arial" w:hAnsi="Arial" w:cs="Arial"/>
          <w:spacing w:val="-4"/>
          <w:sz w:val="22"/>
          <w:szCs w:val="22"/>
        </w:rPr>
        <w:t>úsek</w:t>
      </w:r>
      <w:r w:rsidR="00A929E2" w:rsidRPr="00F3510F">
        <w:rPr>
          <w:rFonts w:ascii="Arial" w:hAnsi="Arial" w:cs="Arial"/>
          <w:spacing w:val="-4"/>
          <w:sz w:val="22"/>
          <w:szCs w:val="22"/>
        </w:rPr>
        <w:t xml:space="preserve"> si</w:t>
      </w:r>
      <w:r w:rsidR="00C8527A" w:rsidRPr="00F3510F">
        <w:rPr>
          <w:rFonts w:ascii="Arial" w:hAnsi="Arial" w:cs="Arial"/>
          <w:spacing w:val="-4"/>
          <w:sz w:val="22"/>
          <w:szCs w:val="22"/>
        </w:rPr>
        <w:t>lnice se nachází v extravilánu.</w:t>
      </w:r>
      <w:r w:rsidR="00A929E2" w:rsidRPr="00F3510F">
        <w:rPr>
          <w:rFonts w:ascii="Arial" w:hAnsi="Arial" w:cs="Arial"/>
          <w:spacing w:val="-4"/>
          <w:sz w:val="22"/>
          <w:szCs w:val="22"/>
        </w:rPr>
        <w:t xml:space="preserve"> Celková délka úpravy je </w:t>
      </w:r>
      <w:r w:rsidR="00CF5C06">
        <w:rPr>
          <w:rFonts w:ascii="Arial" w:hAnsi="Arial" w:cs="Arial"/>
          <w:spacing w:val="-4"/>
          <w:sz w:val="22"/>
          <w:szCs w:val="22"/>
        </w:rPr>
        <w:t>cca 2,5</w:t>
      </w:r>
      <w:r w:rsidR="00840740">
        <w:rPr>
          <w:rFonts w:ascii="Arial" w:hAnsi="Arial" w:cs="Arial"/>
          <w:spacing w:val="-4"/>
          <w:sz w:val="22"/>
          <w:szCs w:val="22"/>
        </w:rPr>
        <w:t xml:space="preserve"> </w:t>
      </w:r>
      <w:r w:rsidR="00ED4AD7" w:rsidRPr="00F3510F">
        <w:rPr>
          <w:rFonts w:ascii="Arial" w:hAnsi="Arial" w:cs="Arial"/>
          <w:spacing w:val="-4"/>
          <w:sz w:val="22"/>
          <w:szCs w:val="22"/>
        </w:rPr>
        <w:t xml:space="preserve">km. </w:t>
      </w:r>
      <w:r w:rsidR="00654D2B" w:rsidRPr="0025010C">
        <w:rPr>
          <w:rFonts w:ascii="Arial" w:hAnsi="Arial" w:cs="Arial"/>
          <w:sz w:val="22"/>
          <w:szCs w:val="22"/>
        </w:rPr>
        <w:t xml:space="preserve">Projektová dokumentace bude </w:t>
      </w:r>
      <w:r w:rsidR="0025010C" w:rsidRPr="0025010C">
        <w:rPr>
          <w:rFonts w:ascii="Arial" w:hAnsi="Arial" w:cs="Arial"/>
          <w:sz w:val="22"/>
          <w:szCs w:val="22"/>
        </w:rPr>
        <w:t>respektovat</w:t>
      </w:r>
      <w:r w:rsidR="00840740" w:rsidRPr="0025010C">
        <w:rPr>
          <w:rFonts w:ascii="Arial" w:hAnsi="Arial" w:cs="Arial"/>
          <w:sz w:val="22"/>
          <w:szCs w:val="22"/>
        </w:rPr>
        <w:t xml:space="preserve"> koridor vymezený </w:t>
      </w:r>
      <w:r w:rsidR="00CF5C06" w:rsidRPr="0025010C">
        <w:rPr>
          <w:rFonts w:ascii="Arial" w:hAnsi="Arial" w:cs="Arial"/>
          <w:sz w:val="22"/>
          <w:szCs w:val="22"/>
        </w:rPr>
        <w:t>územně plánovací dokumentací</w:t>
      </w:r>
      <w:r w:rsidR="001C26F8" w:rsidRPr="0025010C">
        <w:rPr>
          <w:rFonts w:ascii="Arial" w:hAnsi="Arial" w:cs="Arial"/>
          <w:sz w:val="22"/>
          <w:szCs w:val="22"/>
        </w:rPr>
        <w:t>,</w:t>
      </w:r>
      <w:r w:rsidR="001C26F8">
        <w:rPr>
          <w:rFonts w:ascii="Arial" w:hAnsi="Arial" w:cs="Arial"/>
          <w:spacing w:val="-2"/>
          <w:sz w:val="22"/>
          <w:szCs w:val="22"/>
        </w:rPr>
        <w:t xml:space="preserve"> </w:t>
      </w:r>
      <w:r w:rsidR="00654D2B" w:rsidRPr="00DE5308">
        <w:rPr>
          <w:rFonts w:ascii="Arial" w:hAnsi="Arial" w:cs="Arial"/>
          <w:spacing w:val="-2"/>
          <w:sz w:val="22"/>
          <w:szCs w:val="22"/>
        </w:rPr>
        <w:t>jak je navrženo ve studii</w:t>
      </w:r>
      <w:r w:rsidR="001C26F8">
        <w:rPr>
          <w:rFonts w:ascii="Arial" w:hAnsi="Arial" w:cs="Arial"/>
          <w:spacing w:val="-2"/>
          <w:sz w:val="22"/>
          <w:szCs w:val="22"/>
        </w:rPr>
        <w:t>.</w:t>
      </w:r>
      <w:r w:rsidR="00A929E2" w:rsidRPr="00F3510F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6060DF" w:rsidRDefault="00A929E2" w:rsidP="006060D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BD13BE">
        <w:rPr>
          <w:rFonts w:cs="Arial"/>
          <w:spacing w:val="-6"/>
          <w:szCs w:val="22"/>
        </w:rPr>
        <w:t xml:space="preserve">Jedná se o kompletní </w:t>
      </w:r>
      <w:r w:rsidR="001C26F8" w:rsidRPr="00BD13BE">
        <w:rPr>
          <w:rFonts w:cs="Arial"/>
          <w:spacing w:val="-6"/>
          <w:szCs w:val="22"/>
        </w:rPr>
        <w:t>novostavbu</w:t>
      </w:r>
      <w:r w:rsidRPr="00BD13BE">
        <w:rPr>
          <w:rFonts w:cs="Arial"/>
          <w:spacing w:val="-6"/>
          <w:szCs w:val="22"/>
        </w:rPr>
        <w:t xml:space="preserve"> uvedeného úseku </w:t>
      </w:r>
      <w:r w:rsidR="006060DF" w:rsidRPr="00BD13BE">
        <w:rPr>
          <w:rFonts w:cs="Arial"/>
          <w:spacing w:val="-6"/>
          <w:szCs w:val="22"/>
        </w:rPr>
        <w:t>v dané kategorii</w:t>
      </w:r>
      <w:r w:rsidRPr="00BD13BE">
        <w:rPr>
          <w:rFonts w:cs="Arial"/>
          <w:spacing w:val="-6"/>
          <w:szCs w:val="22"/>
        </w:rPr>
        <w:t>, návrhu směrového a výškového</w:t>
      </w:r>
      <w:r w:rsidRPr="007714E8">
        <w:rPr>
          <w:rFonts w:cs="Arial"/>
          <w:szCs w:val="22"/>
        </w:rPr>
        <w:t xml:space="preserve"> uspořádání</w:t>
      </w:r>
      <w:r w:rsidR="00BD13BE">
        <w:rPr>
          <w:rFonts w:cs="Arial"/>
          <w:szCs w:val="22"/>
        </w:rPr>
        <w:t>,</w:t>
      </w:r>
      <w:r w:rsidR="00BD13BE" w:rsidRPr="00BD13BE">
        <w:rPr>
          <w:rFonts w:cs="Arial"/>
          <w:szCs w:val="22"/>
        </w:rPr>
        <w:t xml:space="preserve"> </w:t>
      </w:r>
      <w:r w:rsidR="00BD13BE" w:rsidRPr="007714E8">
        <w:rPr>
          <w:rFonts w:cs="Arial"/>
          <w:szCs w:val="22"/>
        </w:rPr>
        <w:t xml:space="preserve">návrh </w:t>
      </w:r>
      <w:r w:rsidR="00BD13BE">
        <w:rPr>
          <w:rFonts w:cs="Arial"/>
          <w:szCs w:val="22"/>
        </w:rPr>
        <w:t>mostních objektů</w:t>
      </w:r>
      <w:r w:rsidRPr="007714E8">
        <w:rPr>
          <w:rFonts w:cs="Arial"/>
          <w:szCs w:val="22"/>
        </w:rPr>
        <w:t xml:space="preserve"> a vyřešení odvodnění komunikace</w:t>
      </w:r>
      <w:r w:rsidR="00BD13BE">
        <w:rPr>
          <w:rFonts w:cs="Arial"/>
          <w:szCs w:val="22"/>
        </w:rPr>
        <w:t>.</w:t>
      </w:r>
    </w:p>
    <w:p w:rsidR="009D2FDB" w:rsidRDefault="009D2FDB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BD13BE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</w:p>
    <w:p w:rsidR="009D2FDB" w:rsidRPr="007714E8" w:rsidRDefault="00884099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BD13BE">
        <w:rPr>
          <w:rFonts w:cs="Arial"/>
          <w:spacing w:val="-4"/>
          <w:szCs w:val="22"/>
        </w:rPr>
        <w:t>Zhotovitel zajistí souhlasy vlastníků</w:t>
      </w:r>
      <w:r w:rsidR="009D2FDB" w:rsidRPr="00BD13BE">
        <w:rPr>
          <w:rFonts w:cs="Arial"/>
          <w:spacing w:val="-4"/>
          <w:szCs w:val="22"/>
        </w:rPr>
        <w:t xml:space="preserve"> pozemků se stavbou a s případným vynětím ze ZPF</w:t>
      </w:r>
      <w:r w:rsidR="009D2FDB" w:rsidRPr="00BD13BE">
        <w:rPr>
          <w:rFonts w:cs="Arial"/>
          <w:szCs w:val="22"/>
        </w:rPr>
        <w:t xml:space="preserve"> a PUPFL</w:t>
      </w:r>
      <w:r w:rsidR="009D2FDB">
        <w:rPr>
          <w:rFonts w:cs="Arial"/>
          <w:szCs w:val="22"/>
        </w:rPr>
        <w:t xml:space="preserve"> </w:t>
      </w:r>
      <w:r w:rsidR="003C6D26">
        <w:rPr>
          <w:rFonts w:cs="Arial"/>
          <w:szCs w:val="22"/>
        </w:rPr>
        <w:t xml:space="preserve">(dle vzoru investora) </w:t>
      </w:r>
      <w:r w:rsidR="009D2FDB">
        <w:rPr>
          <w:rFonts w:cs="Arial"/>
          <w:szCs w:val="22"/>
        </w:rPr>
        <w:t>pro účely vydání územního rozhodnutí. Zajištění majetkoprávního vypořádání stavby</w:t>
      </w:r>
      <w:r w:rsidR="000244F9">
        <w:rPr>
          <w:rFonts w:cs="Arial"/>
          <w:szCs w:val="22"/>
        </w:rPr>
        <w:t xml:space="preserve"> není součástí předmětu plnění.</w:t>
      </w:r>
    </w:p>
    <w:p w:rsidR="00A929E2" w:rsidRDefault="00A929E2" w:rsidP="00BB6DBE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(</w:t>
      </w:r>
      <w:r w:rsidR="00D65C76" w:rsidRPr="00824CF1">
        <w:rPr>
          <w:rFonts w:ascii="Arial" w:hAnsi="Arial" w:cs="Arial"/>
          <w:b/>
          <w:sz w:val="22"/>
          <w:szCs w:val="22"/>
          <w:lang w:eastAsia="ar-SA"/>
        </w:rPr>
        <w:t>p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říloha</w:t>
      </w:r>
      <w:r w:rsidR="00FD261D" w:rsidRPr="00824CF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EE46E5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962676" w:rsidRDefault="00962676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>návrhu smlouvy o provedení veřejné zakázky</w:t>
      </w:r>
      <w:r w:rsidRPr="00824CF1">
        <w:rPr>
          <w:rFonts w:ascii="Arial" w:hAnsi="Arial" w:cs="Arial"/>
          <w:sz w:val="22"/>
          <w:szCs w:val="22"/>
        </w:rPr>
        <w:t xml:space="preserve"> </w:t>
      </w:r>
      <w:r w:rsidRPr="00824CF1">
        <w:rPr>
          <w:rFonts w:ascii="Arial" w:hAnsi="Arial" w:cs="Arial"/>
          <w:b/>
          <w:sz w:val="22"/>
          <w:szCs w:val="22"/>
        </w:rPr>
        <w:t>(</w:t>
      </w:r>
      <w:r w:rsidR="00D65C76" w:rsidRPr="00824CF1">
        <w:rPr>
          <w:rFonts w:ascii="Arial" w:hAnsi="Arial" w:cs="Arial"/>
          <w:b/>
          <w:sz w:val="22"/>
          <w:szCs w:val="22"/>
        </w:rPr>
        <w:t>p</w:t>
      </w:r>
      <w:r w:rsidRPr="00824CF1">
        <w:rPr>
          <w:rFonts w:ascii="Arial" w:hAnsi="Arial" w:cs="Arial"/>
          <w:b/>
          <w:sz w:val="22"/>
          <w:szCs w:val="22"/>
        </w:rPr>
        <w:t xml:space="preserve">říloha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824CF1">
        <w:rPr>
          <w:rFonts w:ascii="Arial" w:hAnsi="Arial" w:cs="Arial"/>
          <w:b/>
          <w:sz w:val="22"/>
          <w:szCs w:val="22"/>
        </w:rPr>
        <w:t>).</w:t>
      </w:r>
    </w:p>
    <w:p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2776C">
        <w:rPr>
          <w:rFonts w:ascii="Arial" w:hAnsi="Arial" w:cs="Arial"/>
          <w:sz w:val="22"/>
          <w:szCs w:val="22"/>
        </w:rPr>
        <w:t>Předpokládaná hodnota veřejné zakázky činí  </w:t>
      </w:r>
      <w:r w:rsidR="001E798F" w:rsidRPr="0072776C">
        <w:rPr>
          <w:rFonts w:ascii="Arial" w:hAnsi="Arial" w:cs="Arial"/>
          <w:sz w:val="22"/>
          <w:szCs w:val="22"/>
        </w:rPr>
        <w:t>3</w:t>
      </w:r>
      <w:r w:rsidR="003A07F3" w:rsidRPr="0072776C">
        <w:rPr>
          <w:rFonts w:ascii="Arial" w:hAnsi="Arial" w:cs="Arial"/>
          <w:sz w:val="22"/>
          <w:szCs w:val="22"/>
        </w:rPr>
        <w:t xml:space="preserve"> 5</w:t>
      </w:r>
      <w:r w:rsidR="008045AB" w:rsidRPr="0072776C">
        <w:rPr>
          <w:rFonts w:ascii="Arial" w:hAnsi="Arial" w:cs="Arial"/>
          <w:sz w:val="22"/>
          <w:szCs w:val="22"/>
        </w:rPr>
        <w:t>00</w:t>
      </w:r>
      <w:r w:rsidR="00713E18" w:rsidRPr="0072776C">
        <w:rPr>
          <w:rFonts w:ascii="Arial" w:hAnsi="Arial" w:cs="Arial"/>
          <w:sz w:val="22"/>
          <w:szCs w:val="22"/>
        </w:rPr>
        <w:t xml:space="preserve"> 000</w:t>
      </w:r>
      <w:r w:rsidRPr="0072776C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215EE8">
      <w:pPr>
        <w:pStyle w:val="Nadpis1"/>
        <w:spacing w:before="12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 základní způsobilosti podle § 74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profesní způsobilosti podle § 77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c) technické kvalifikace podle § 79 zákona.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F7478C" w:rsidRPr="00EE46E5">
        <w:rPr>
          <w:rFonts w:ascii="Arial" w:hAnsi="Arial" w:cs="Arial"/>
          <w:b/>
          <w:sz w:val="22"/>
          <w:szCs w:val="22"/>
        </w:rPr>
        <w:t>zákona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>ný čin uvedený v příloze č. 3 k zákonu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sz w:val="22"/>
          <w:szCs w:val="22"/>
        </w:rPr>
        <w:t>Pro předložení čestného prohlášení ve vztahu k § 74 odst. 1 písm. b) a c) zákona může dodavatel využít</w:t>
      </w:r>
      <w:r w:rsidR="005B7649">
        <w:rPr>
          <w:rFonts w:ascii="Arial" w:hAnsi="Arial" w:cs="Arial"/>
          <w:sz w:val="22"/>
          <w:szCs w:val="22"/>
        </w:rPr>
        <w:t xml:space="preserve"> vzor čestného prohlášení (viz </w:t>
      </w:r>
      <w:r w:rsidR="005B7649" w:rsidRPr="00D071FD">
        <w:rPr>
          <w:rFonts w:ascii="Arial" w:hAnsi="Arial" w:cs="Arial"/>
          <w:sz w:val="22"/>
          <w:szCs w:val="22"/>
        </w:rPr>
        <w:t>p</w:t>
      </w:r>
      <w:r w:rsidRPr="00D071FD">
        <w:rPr>
          <w:rFonts w:ascii="Arial" w:hAnsi="Arial" w:cs="Arial"/>
          <w:sz w:val="22"/>
          <w:szCs w:val="22"/>
        </w:rPr>
        <w:t>říloha</w:t>
      </w:r>
      <w:r w:rsidRPr="00FD261D">
        <w:rPr>
          <w:rFonts w:ascii="Arial" w:hAnsi="Arial" w:cs="Arial"/>
          <w:sz w:val="22"/>
          <w:szCs w:val="22"/>
        </w:rPr>
        <w:t xml:space="preserve"> </w:t>
      </w:r>
      <w:r w:rsidR="009E17D2">
        <w:rPr>
          <w:rFonts w:ascii="Arial" w:hAnsi="Arial" w:cs="Arial"/>
          <w:sz w:val="22"/>
          <w:szCs w:val="22"/>
        </w:rPr>
        <w:t>zadávací dokumentace</w:t>
      </w:r>
      <w:r w:rsidRPr="00FD261D">
        <w:rPr>
          <w:rFonts w:ascii="Arial" w:hAnsi="Arial" w:cs="Arial"/>
          <w:sz w:val="22"/>
          <w:szCs w:val="22"/>
        </w:rPr>
        <w:t>).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>, musí současně prokázat základní způsobilost v rozsahu ust. § 74 odst. 2 zákona.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zákona.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způsobilosti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F7478C" w:rsidRPr="00C76AD6">
        <w:rPr>
          <w:rFonts w:ascii="Arial" w:hAnsi="Arial" w:cs="Arial"/>
          <w:b/>
          <w:spacing w:val="-2"/>
          <w:sz w:val="22"/>
          <w:szCs w:val="22"/>
        </w:rPr>
        <w:t>zákona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F7478C" w:rsidRPr="00C76AD6">
        <w:rPr>
          <w:rFonts w:ascii="Arial" w:hAnsi="Arial" w:cs="Arial"/>
          <w:b/>
          <w:spacing w:val="-2"/>
        </w:rPr>
        <w:t>zákona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>Zadavatel v souladu s § 77 odst. 2 písm. c) zákona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</w:p>
    <w:p w:rsidR="00E85672" w:rsidRDefault="00E8567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 pro obor mosty a inženýrské konstrukce</w:t>
      </w:r>
      <w:r w:rsidR="00AD7FB4"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 xml:space="preserve">č. 360/1992 Sb. </w:t>
      </w:r>
      <w:r w:rsidR="00C76AD6" w:rsidRPr="00C76AD6">
        <w:rPr>
          <w:rFonts w:ascii="Arial" w:hAnsi="Arial" w:cs="Arial"/>
          <w:spacing w:val="-4"/>
        </w:rPr>
        <w:t>o</w:t>
      </w:r>
      <w:r w:rsidRPr="00C76AD6">
        <w:rPr>
          <w:rFonts w:ascii="Arial" w:hAnsi="Arial" w:cs="Arial"/>
          <w:spacing w:val="-4"/>
        </w:rPr>
        <w:t xml:space="preserve">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uvedeném v  § 13  odst. 1 písm. </w:t>
      </w:r>
      <w:bookmarkStart w:id="11" w:name="_GoBack"/>
      <w:bookmarkEnd w:id="11"/>
      <w:r w:rsidRPr="004B0262">
        <w:rPr>
          <w:rFonts w:ascii="Arial" w:hAnsi="Arial" w:cs="Arial"/>
          <w:spacing w:val="-2"/>
        </w:rPr>
        <w:t>c) cit. zákona,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lastRenderedPageBreak/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zákona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:rsidR="00FB4191" w:rsidRPr="005A1A7D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7BCD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2E7BCD">
        <w:rPr>
          <w:rFonts w:ascii="Arial" w:hAnsi="Arial" w:cs="Arial"/>
          <w:b/>
          <w:sz w:val="22"/>
          <w:szCs w:val="22"/>
        </w:rPr>
        <w:t xml:space="preserve">minimální úroveň </w:t>
      </w:r>
      <w:r w:rsidRPr="002E7BCD">
        <w:rPr>
          <w:rFonts w:ascii="Arial" w:hAnsi="Arial" w:cs="Arial"/>
          <w:spacing w:val="4"/>
          <w:sz w:val="22"/>
          <w:szCs w:val="22"/>
        </w:rPr>
        <w:t xml:space="preserve">pro splnění technické kvalifikace v rozsahu </w:t>
      </w:r>
      <w:r w:rsidR="00AD7047" w:rsidRPr="002E7BCD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37AAE" w:rsidRPr="002E7BCD">
        <w:rPr>
          <w:rFonts w:ascii="Arial" w:hAnsi="Arial" w:cs="Arial"/>
          <w:b/>
          <w:spacing w:val="4"/>
          <w:sz w:val="22"/>
          <w:szCs w:val="22"/>
        </w:rPr>
        <w:t>3</w:t>
      </w:r>
      <w:r w:rsidR="00225625" w:rsidRPr="002E7BCD">
        <w:rPr>
          <w:rFonts w:ascii="Arial" w:hAnsi="Arial" w:cs="Arial"/>
          <w:b/>
          <w:spacing w:val="4"/>
          <w:sz w:val="22"/>
          <w:szCs w:val="22"/>
        </w:rPr>
        <w:t xml:space="preserve"> projektovaných staveb</w:t>
      </w:r>
      <w:r w:rsidR="00B37D90" w:rsidRPr="002E7BCD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2E7BCD">
        <w:rPr>
          <w:rFonts w:ascii="Arial" w:hAnsi="Arial" w:cs="Arial"/>
          <w:b/>
          <w:spacing w:val="4"/>
          <w:sz w:val="22"/>
          <w:szCs w:val="22"/>
        </w:rPr>
        <w:t>(novostaveb</w:t>
      </w:r>
      <w:r w:rsidR="006C24E4" w:rsidRPr="002E7BCD">
        <w:rPr>
          <w:rFonts w:ascii="Arial" w:hAnsi="Arial" w:cs="Arial"/>
          <w:b/>
          <w:spacing w:val="-2"/>
          <w:sz w:val="22"/>
          <w:szCs w:val="22"/>
        </w:rPr>
        <w:t xml:space="preserve"> nebo rekonstrukcí) </w:t>
      </w:r>
      <w:r w:rsidR="0010301A" w:rsidRPr="002E7BCD">
        <w:rPr>
          <w:rFonts w:ascii="Arial" w:hAnsi="Arial" w:cs="Arial"/>
          <w:b/>
          <w:sz w:val="22"/>
          <w:szCs w:val="22"/>
        </w:rPr>
        <w:t xml:space="preserve">silnic </w:t>
      </w:r>
      <w:r w:rsidR="00247150" w:rsidRPr="002E7BCD">
        <w:rPr>
          <w:rFonts w:ascii="Arial" w:hAnsi="Arial" w:cs="Arial"/>
          <w:b/>
          <w:sz w:val="22"/>
          <w:szCs w:val="22"/>
        </w:rPr>
        <w:t>o délce min</w:t>
      </w:r>
      <w:r w:rsidR="00D552BC" w:rsidRPr="002E7BCD">
        <w:rPr>
          <w:rFonts w:ascii="Arial" w:hAnsi="Arial" w:cs="Arial"/>
          <w:b/>
          <w:sz w:val="22"/>
          <w:szCs w:val="22"/>
        </w:rPr>
        <w:t xml:space="preserve">. </w:t>
      </w:r>
      <w:r w:rsidR="00135E55" w:rsidRPr="002E7BCD">
        <w:rPr>
          <w:rFonts w:ascii="Arial" w:hAnsi="Arial" w:cs="Arial"/>
          <w:b/>
          <w:sz w:val="22"/>
          <w:szCs w:val="22"/>
        </w:rPr>
        <w:t>1,1</w:t>
      </w:r>
      <w:r w:rsidR="00B37D90" w:rsidRPr="002E7BCD">
        <w:rPr>
          <w:rFonts w:ascii="Arial" w:hAnsi="Arial" w:cs="Arial"/>
          <w:b/>
          <w:sz w:val="22"/>
          <w:szCs w:val="22"/>
        </w:rPr>
        <w:t xml:space="preserve"> </w:t>
      </w:r>
      <w:r w:rsidR="00903ACD" w:rsidRPr="002E7BCD">
        <w:rPr>
          <w:rFonts w:ascii="Arial" w:hAnsi="Arial" w:cs="Arial"/>
          <w:b/>
          <w:sz w:val="22"/>
          <w:szCs w:val="22"/>
        </w:rPr>
        <w:t>km</w:t>
      </w:r>
      <w:r w:rsidR="00247150" w:rsidRPr="002E7BCD">
        <w:rPr>
          <w:rFonts w:ascii="Arial" w:hAnsi="Arial" w:cs="Arial"/>
          <w:b/>
          <w:sz w:val="22"/>
          <w:szCs w:val="22"/>
        </w:rPr>
        <w:t xml:space="preserve"> </w:t>
      </w:r>
      <w:r w:rsidR="00225625" w:rsidRPr="002E7BCD">
        <w:rPr>
          <w:rFonts w:ascii="Arial" w:hAnsi="Arial" w:cs="Arial"/>
          <w:b/>
          <w:sz w:val="22"/>
          <w:szCs w:val="22"/>
        </w:rPr>
        <w:t>ve stupni</w:t>
      </w:r>
      <w:r w:rsidR="005F3897" w:rsidRPr="002E7BCD">
        <w:rPr>
          <w:rFonts w:ascii="Arial" w:hAnsi="Arial" w:cs="Arial"/>
          <w:b/>
          <w:sz w:val="22"/>
          <w:szCs w:val="22"/>
        </w:rPr>
        <w:t xml:space="preserve"> DÚR,</w:t>
      </w:r>
      <w:r w:rsidR="00225625" w:rsidRPr="002E7BCD">
        <w:rPr>
          <w:rFonts w:ascii="Arial" w:hAnsi="Arial" w:cs="Arial"/>
          <w:b/>
          <w:sz w:val="22"/>
          <w:szCs w:val="22"/>
        </w:rPr>
        <w:t xml:space="preserve"> </w:t>
      </w:r>
      <w:r w:rsidRPr="002E7BCD">
        <w:rPr>
          <w:rFonts w:ascii="Arial" w:hAnsi="Arial" w:cs="Arial"/>
          <w:b/>
          <w:sz w:val="22"/>
          <w:szCs w:val="22"/>
        </w:rPr>
        <w:t xml:space="preserve">DSP </w:t>
      </w:r>
      <w:r w:rsidR="004C58E8" w:rsidRPr="002E7BCD">
        <w:rPr>
          <w:rFonts w:ascii="Arial" w:hAnsi="Arial" w:cs="Arial"/>
          <w:b/>
          <w:sz w:val="22"/>
          <w:szCs w:val="22"/>
        </w:rPr>
        <w:t>a</w:t>
      </w:r>
      <w:r w:rsidRPr="002E7BCD">
        <w:rPr>
          <w:rFonts w:ascii="Arial" w:hAnsi="Arial" w:cs="Arial"/>
          <w:b/>
          <w:sz w:val="22"/>
          <w:szCs w:val="22"/>
        </w:rPr>
        <w:t xml:space="preserve"> PDPS</w:t>
      </w:r>
      <w:r w:rsidR="00D90A10" w:rsidRPr="002E7BCD">
        <w:rPr>
          <w:rFonts w:ascii="Arial" w:hAnsi="Arial" w:cs="Arial"/>
          <w:b/>
          <w:sz w:val="22"/>
          <w:szCs w:val="22"/>
        </w:rPr>
        <w:t xml:space="preserve"> pro každou z</w:t>
      </w:r>
      <w:r w:rsidR="00B37D90" w:rsidRPr="002E7BCD">
        <w:rPr>
          <w:rFonts w:ascii="Arial" w:hAnsi="Arial" w:cs="Arial"/>
          <w:b/>
          <w:sz w:val="22"/>
          <w:szCs w:val="22"/>
        </w:rPr>
        <w:t> </w:t>
      </w:r>
      <w:r w:rsidR="00D90A10" w:rsidRPr="002E7BCD">
        <w:rPr>
          <w:rFonts w:ascii="Arial" w:hAnsi="Arial" w:cs="Arial"/>
          <w:b/>
          <w:sz w:val="22"/>
          <w:szCs w:val="22"/>
        </w:rPr>
        <w:t>nich</w:t>
      </w:r>
      <w:r w:rsidR="00B37D90" w:rsidRPr="002E7BCD">
        <w:rPr>
          <w:rFonts w:ascii="Arial" w:hAnsi="Arial" w:cs="Arial"/>
          <w:b/>
          <w:sz w:val="22"/>
          <w:szCs w:val="22"/>
        </w:rPr>
        <w:t>, z</w:t>
      </w:r>
      <w:r w:rsidR="005764FC" w:rsidRPr="002E7BCD">
        <w:rPr>
          <w:rFonts w:ascii="Arial" w:hAnsi="Arial" w:cs="Arial"/>
          <w:b/>
          <w:sz w:val="22"/>
          <w:szCs w:val="22"/>
        </w:rPr>
        <w:t xml:space="preserve"> nichž </w:t>
      </w:r>
      <w:r w:rsidR="006C24E4" w:rsidRPr="002E7BCD">
        <w:rPr>
          <w:rFonts w:ascii="Arial" w:hAnsi="Arial" w:cs="Arial"/>
          <w:b/>
          <w:sz w:val="22"/>
          <w:szCs w:val="22"/>
        </w:rPr>
        <w:t xml:space="preserve">budou </w:t>
      </w:r>
      <w:r w:rsidR="00B37D90" w:rsidRPr="002E7BCD">
        <w:rPr>
          <w:rFonts w:ascii="Arial" w:hAnsi="Arial" w:cs="Arial"/>
          <w:b/>
          <w:sz w:val="22"/>
          <w:szCs w:val="22"/>
        </w:rPr>
        <w:t xml:space="preserve">alespoň 2 </w:t>
      </w:r>
      <w:r w:rsidR="006C24E4" w:rsidRPr="002E7BCD">
        <w:rPr>
          <w:rFonts w:ascii="Arial" w:hAnsi="Arial" w:cs="Arial"/>
          <w:b/>
          <w:sz w:val="22"/>
          <w:szCs w:val="22"/>
        </w:rPr>
        <w:t>novostavby</w:t>
      </w:r>
      <w:r w:rsidR="005A1A7D" w:rsidRPr="002E7BCD">
        <w:rPr>
          <w:rFonts w:ascii="Arial" w:hAnsi="Arial" w:cs="Arial"/>
          <w:b/>
          <w:sz w:val="22"/>
          <w:szCs w:val="22"/>
        </w:rPr>
        <w:t>, jejichž součástí byla</w:t>
      </w:r>
      <w:r w:rsidR="006C24E4" w:rsidRPr="002E7BCD">
        <w:rPr>
          <w:rFonts w:ascii="Arial" w:hAnsi="Arial" w:cs="Arial"/>
          <w:b/>
          <w:sz w:val="22"/>
          <w:szCs w:val="22"/>
        </w:rPr>
        <w:t xml:space="preserve"> výstavb</w:t>
      </w:r>
      <w:r w:rsidR="005A1A7D" w:rsidRPr="002E7BCD">
        <w:rPr>
          <w:rFonts w:ascii="Arial" w:hAnsi="Arial" w:cs="Arial"/>
          <w:b/>
          <w:sz w:val="22"/>
          <w:szCs w:val="22"/>
        </w:rPr>
        <w:t>a</w:t>
      </w:r>
      <w:r w:rsidR="006C24E4" w:rsidRPr="002E7BCD">
        <w:rPr>
          <w:rFonts w:ascii="Arial" w:hAnsi="Arial" w:cs="Arial"/>
          <w:b/>
          <w:sz w:val="22"/>
          <w:szCs w:val="22"/>
        </w:rPr>
        <w:t xml:space="preserve"> mostu o délce min. </w:t>
      </w:r>
      <w:r w:rsidR="002E7BCD" w:rsidRPr="002E7BCD">
        <w:rPr>
          <w:rFonts w:ascii="Arial" w:hAnsi="Arial" w:cs="Arial"/>
          <w:b/>
          <w:sz w:val="22"/>
          <w:szCs w:val="22"/>
        </w:rPr>
        <w:t>6</w:t>
      </w:r>
      <w:r w:rsidR="006C24E4" w:rsidRPr="002E7BCD">
        <w:rPr>
          <w:rFonts w:ascii="Arial" w:hAnsi="Arial" w:cs="Arial"/>
          <w:b/>
          <w:sz w:val="22"/>
          <w:szCs w:val="22"/>
        </w:rPr>
        <w:t>0 m</w:t>
      </w:r>
      <w:r w:rsidR="005764FC" w:rsidRPr="002E7BCD">
        <w:rPr>
          <w:rFonts w:ascii="Arial" w:hAnsi="Arial" w:cs="Arial"/>
          <w:b/>
          <w:sz w:val="22"/>
          <w:szCs w:val="22"/>
        </w:rPr>
        <w:t xml:space="preserve"> (u obou)</w:t>
      </w:r>
      <w:r w:rsidR="00247150" w:rsidRPr="002E7BCD">
        <w:rPr>
          <w:rFonts w:ascii="Arial" w:hAnsi="Arial" w:cs="Arial"/>
          <w:b/>
          <w:sz w:val="22"/>
          <w:szCs w:val="22"/>
        </w:rPr>
        <w:t>.</w:t>
      </w:r>
      <w:r w:rsidR="00247150" w:rsidRPr="005A1A7D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>Doby k prokázání realizace uvedených služeb se pro účely této zadávací dokumentace považují za splněné, pokud byla služba v průběhu této doby dokončena.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  <w:r w:rsidR="00B568CC" w:rsidRPr="00F65E3E">
        <w:rPr>
          <w:rFonts w:ascii="Arial" w:hAnsi="Arial" w:cs="Arial"/>
          <w:sz w:val="22"/>
          <w:szCs w:val="22"/>
        </w:rPr>
        <w:t xml:space="preserve">Služby spočívající ve zpracování projektové dokumentace pro vydání </w:t>
      </w:r>
      <w:r w:rsidR="0053576A" w:rsidRPr="00F65E3E">
        <w:rPr>
          <w:rFonts w:ascii="Arial" w:hAnsi="Arial" w:cs="Arial"/>
          <w:sz w:val="22"/>
          <w:szCs w:val="22"/>
        </w:rPr>
        <w:t>územního rozhodnutí,</w:t>
      </w:r>
      <w:r w:rsidR="0053576A" w:rsidRPr="00F65E3E">
        <w:rPr>
          <w:rFonts w:ascii="Arial" w:hAnsi="Arial" w:cs="Arial"/>
          <w:spacing w:val="6"/>
          <w:sz w:val="22"/>
          <w:szCs w:val="22"/>
        </w:rPr>
        <w:t xml:space="preserve"> </w:t>
      </w:r>
      <w:r w:rsidR="00B568CC" w:rsidRPr="00F65E3E">
        <w:rPr>
          <w:rFonts w:ascii="Arial" w:hAnsi="Arial" w:cs="Arial"/>
          <w:spacing w:val="6"/>
          <w:sz w:val="22"/>
          <w:szCs w:val="22"/>
        </w:rPr>
        <w:t>stavebního povolení</w:t>
      </w:r>
      <w:r w:rsidR="0053576A" w:rsidRPr="00F65E3E">
        <w:rPr>
          <w:rFonts w:ascii="Arial" w:hAnsi="Arial" w:cs="Arial"/>
          <w:sz w:val="22"/>
          <w:szCs w:val="22"/>
        </w:rPr>
        <w:t xml:space="preserve"> a </w:t>
      </w:r>
      <w:r w:rsidR="00B568CC" w:rsidRPr="00F65E3E">
        <w:rPr>
          <w:rFonts w:ascii="Arial" w:hAnsi="Arial" w:cs="Arial"/>
          <w:sz w:val="22"/>
          <w:szCs w:val="22"/>
        </w:rPr>
        <w:t>projektové dokumentace pro provádění stavby v rámci jedné investiční akce budou považovány za jednu významnou službu.</w:t>
      </w:r>
    </w:p>
    <w:p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6C58E0" w:rsidRPr="00D071FD">
        <w:rPr>
          <w:rFonts w:ascii="Arial" w:hAnsi="Arial" w:cs="Arial"/>
        </w:rPr>
        <w:t>příloha</w:t>
      </w:r>
      <w:r w:rsidR="006C58E0">
        <w:rPr>
          <w:rFonts w:ascii="Arial" w:hAnsi="Arial" w:cs="Arial"/>
        </w:rPr>
        <w:t xml:space="preserve">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:rsidR="006C58E0" w:rsidRPr="00EE46E5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Doklady o kvalifikaci předkládají dodavatelé v nabídkách v kopiích a mohou je nahradit </w:t>
      </w:r>
      <w:r w:rsidRPr="00617C1F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617C1F">
        <w:rPr>
          <w:rFonts w:ascii="Arial" w:hAnsi="Arial" w:cs="Arial"/>
          <w:snapToGrid w:val="0"/>
          <w:sz w:val="22"/>
          <w:szCs w:val="22"/>
        </w:rPr>
        <w:t xml:space="preserve"> (</w:t>
      </w:r>
      <w:r w:rsidRPr="00617C1F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přílohu </w:t>
      </w:r>
      <w:r w:rsidR="00617C1F" w:rsidRPr="00617C1F">
        <w:rPr>
          <w:rFonts w:ascii="Arial" w:hAnsi="Arial" w:cs="Arial"/>
          <w:sz w:val="22"/>
          <w:szCs w:val="22"/>
          <w:u w:val="single"/>
        </w:rPr>
        <w:t>zadávací dokumentace</w:t>
      </w:r>
      <w:r w:rsidR="00D36EC7" w:rsidRPr="00617C1F">
        <w:rPr>
          <w:rFonts w:ascii="Arial" w:hAnsi="Arial" w:cs="Arial"/>
          <w:snapToGrid w:val="0"/>
          <w:sz w:val="22"/>
          <w:szCs w:val="22"/>
          <w:u w:val="single"/>
        </w:rPr>
        <w:t xml:space="preserve"> </w:t>
      </w:r>
      <w:r w:rsidR="00CA4A3B" w:rsidRPr="00617C1F">
        <w:rPr>
          <w:rFonts w:ascii="Arial" w:hAnsi="Arial" w:cs="Arial"/>
          <w:snapToGrid w:val="0"/>
          <w:sz w:val="22"/>
          <w:szCs w:val="22"/>
          <w:u w:val="single"/>
        </w:rPr>
        <w:t>– Č</w:t>
      </w:r>
      <w:r w:rsidRPr="00617C1F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Ust. § 81 – 85 zákona a § 87 – 88 zákona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zákona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zákona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zákona, požadované zadavatelem prostřednictvím jiných osob. Dodavatel je v takovém případě povinen zadavateli předložit:  </w:t>
      </w:r>
      <w:bookmarkEnd w:id="14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profesní způsobilosti podle § 77 odst. 1 zákona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o splnění základní způsobilosti podle § 74 zákona jinou osobou a</w:t>
      </w:r>
    </w:p>
    <w:p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zakázky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:rsidR="006C58E0" w:rsidRPr="00EE46E5" w:rsidRDefault="006C58E0" w:rsidP="008C038C">
      <w:pPr>
        <w:pStyle w:val="2sltext"/>
        <w:numPr>
          <w:ilvl w:val="0"/>
          <w:numId w:val="0"/>
        </w:numPr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6" w:name="_Toc468796038"/>
      <w:bookmarkStart w:id="17" w:name="_Toc464039189"/>
      <w:r w:rsidRPr="00EE46E5">
        <w:lastRenderedPageBreak/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ust. § 53 odst. 1 zákona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  <w:r w:rsidR="00C03765" w:rsidRPr="00F81A90">
        <w:rPr>
          <w:rFonts w:ascii="Arial" w:hAnsi="Arial" w:cs="Arial"/>
          <w:sz w:val="22"/>
          <w:szCs w:val="22"/>
        </w:rPr>
        <w:t>,</w:t>
      </w:r>
    </w:p>
    <w:p w:rsidR="00F63462" w:rsidRPr="00D071FD" w:rsidRDefault="00767BD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071FD"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Pr="00D071FD">
        <w:rPr>
          <w:rFonts w:ascii="Arial" w:hAnsi="Arial" w:cs="Arial"/>
          <w:sz w:val="22"/>
          <w:szCs w:val="22"/>
        </w:rPr>
        <w:t>,</w:t>
      </w:r>
    </w:p>
    <w:p w:rsidR="00AD7047" w:rsidRDefault="006C039D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  <w:r w:rsidR="00767BD7" w:rsidRPr="00D071FD">
        <w:rPr>
          <w:rFonts w:ascii="Arial" w:hAnsi="Arial" w:cs="Arial"/>
          <w:sz w:val="22"/>
          <w:szCs w:val="22"/>
        </w:rPr>
        <w:t>,</w:t>
      </w:r>
    </w:p>
    <w:p w:rsidR="00DD5DC8" w:rsidRPr="004C6270" w:rsidRDefault="00A71FAE" w:rsidP="00A71FAE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4C6270">
        <w:rPr>
          <w:rFonts w:cs="Arial"/>
          <w:spacing w:val="-2"/>
          <w:szCs w:val="22"/>
          <w:lang w:eastAsia="ar-SA"/>
        </w:rPr>
        <w:t xml:space="preserve">studie Podklady pro aktualizaci ZÚR krajů a ÚP obcí dotčených transportem NTK v souvislosti </w:t>
      </w:r>
      <w:r w:rsidRPr="004C6270">
        <w:rPr>
          <w:rFonts w:cs="Arial"/>
          <w:spacing w:val="-4"/>
          <w:szCs w:val="22"/>
          <w:lang w:eastAsia="ar-SA"/>
        </w:rPr>
        <w:t>s výstavbou NJZ v lokalitě Dukovany zpracova</w:t>
      </w:r>
      <w:r w:rsidR="00E9371F" w:rsidRPr="004C6270">
        <w:rPr>
          <w:rFonts w:cs="Arial"/>
          <w:spacing w:val="-4"/>
          <w:szCs w:val="22"/>
          <w:lang w:eastAsia="ar-SA"/>
        </w:rPr>
        <w:t>né v 05/2016 projekční kanc.</w:t>
      </w:r>
      <w:r w:rsidRPr="004C6270">
        <w:rPr>
          <w:rFonts w:cs="Arial"/>
          <w:spacing w:val="-4"/>
          <w:szCs w:val="22"/>
          <w:lang w:eastAsia="ar-SA"/>
        </w:rPr>
        <w:t xml:space="preserve"> METROPROJEKT</w:t>
      </w:r>
      <w:r w:rsidRPr="004C6270">
        <w:rPr>
          <w:rFonts w:cs="Arial"/>
          <w:spacing w:val="-2"/>
          <w:szCs w:val="22"/>
          <w:lang w:eastAsia="ar-SA"/>
        </w:rPr>
        <w:t xml:space="preserve"> Praha a.s., nám. I. P. Pavlova 1786/2, 120 00 Praha 2</w:t>
      </w:r>
      <w:r w:rsidR="00863C8B" w:rsidRPr="004C6270">
        <w:rPr>
          <w:rFonts w:cs="Arial"/>
          <w:spacing w:val="-2"/>
          <w:szCs w:val="22"/>
          <w:lang w:eastAsia="ar-SA"/>
        </w:rPr>
        <w:t>,</w:t>
      </w:r>
      <w:r w:rsidR="00903ACD" w:rsidRPr="004C6270">
        <w:rPr>
          <w:rFonts w:cs="Arial"/>
          <w:spacing w:val="-2"/>
          <w:szCs w:val="22"/>
          <w:lang w:eastAsia="ar-SA"/>
        </w:rPr>
        <w:t xml:space="preserve"> </w:t>
      </w:r>
    </w:p>
    <w:p w:rsidR="00903ACD" w:rsidRPr="004C6270" w:rsidRDefault="00903ACD" w:rsidP="00903ACD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4C6270">
        <w:rPr>
          <w:rFonts w:cs="Arial"/>
          <w:spacing w:val="-2"/>
          <w:szCs w:val="22"/>
          <w:lang w:eastAsia="ar-SA"/>
        </w:rPr>
        <w:t>technický popis parametrů pro budoucí přepravu NTK a požadované parametry PK</w:t>
      </w:r>
      <w:r w:rsidR="00863C8B" w:rsidRPr="004C6270">
        <w:rPr>
          <w:rFonts w:cs="Arial"/>
          <w:spacing w:val="-2"/>
          <w:szCs w:val="22"/>
          <w:lang w:eastAsia="ar-SA"/>
        </w:rPr>
        <w:t>.</w:t>
      </w:r>
    </w:p>
    <w:p w:rsidR="00FF1036" w:rsidRPr="00DD5DC8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8" w:name="_Toc464039190"/>
      <w:bookmarkStart w:id="19" w:name="_Toc468796039"/>
      <w:r w:rsidRPr="00EE46E5">
        <w:t>Vysvětlení zadávací dokumentace</w:t>
      </w:r>
      <w:bookmarkEnd w:id="18"/>
      <w:bookmarkEnd w:id="19"/>
    </w:p>
    <w:p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F7478C" w:rsidRPr="008A36AE">
        <w:rPr>
          <w:rFonts w:ascii="Arial" w:hAnsi="Arial"/>
          <w:sz w:val="22"/>
        </w:rPr>
        <w:t>zákona</w:t>
      </w:r>
      <w:r w:rsidRPr="008A36AE">
        <w:rPr>
          <w:rFonts w:ascii="Arial" w:hAnsi="Arial"/>
          <w:sz w:val="22"/>
        </w:rPr>
        <w:t xml:space="preserve">. </w:t>
      </w:r>
    </w:p>
    <w:p w:rsidR="00AD7047" w:rsidRPr="008A36AE" w:rsidRDefault="00AD7047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color w:val="FF0000"/>
          <w:sz w:val="22"/>
        </w:rPr>
      </w:pPr>
    </w:p>
    <w:p w:rsidR="00803665" w:rsidRPr="008A36AE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sz w:val="22"/>
          <w:szCs w:val="22"/>
        </w:rPr>
      </w:pPr>
      <w:r w:rsidRPr="008A36AE">
        <w:rPr>
          <w:rFonts w:ascii="Arial" w:hAnsi="Arial"/>
          <w:sz w:val="22"/>
        </w:rPr>
        <w:t xml:space="preserve">Adresa pro doručení: </w:t>
      </w:r>
      <w:r w:rsidRPr="008A36AE">
        <w:rPr>
          <w:rFonts w:ascii="Arial" w:hAnsi="Arial"/>
          <w:i/>
          <w:sz w:val="22"/>
          <w:szCs w:val="22"/>
        </w:rPr>
        <w:t xml:space="preserve">Krajský úřad Kraje Vysočina, Odbor dopravy a silničního hospodářství, Žižkova 1882/57, </w:t>
      </w:r>
      <w:r w:rsidR="00794590" w:rsidRPr="008A36AE">
        <w:rPr>
          <w:rFonts w:ascii="Arial" w:hAnsi="Arial"/>
          <w:i/>
          <w:sz w:val="22"/>
          <w:szCs w:val="22"/>
        </w:rPr>
        <w:t xml:space="preserve">587 33 </w:t>
      </w:r>
      <w:r w:rsidRPr="008A36AE">
        <w:rPr>
          <w:rFonts w:ascii="Arial" w:hAnsi="Arial"/>
          <w:i/>
          <w:sz w:val="22"/>
          <w:szCs w:val="22"/>
        </w:rPr>
        <w:t>Jihlava. K</w:t>
      </w:r>
      <w:r w:rsidRPr="008A36AE">
        <w:rPr>
          <w:rFonts w:ascii="Arial" w:hAnsi="Arial" w:cs="Arial"/>
          <w:i/>
          <w:sz w:val="22"/>
          <w:szCs w:val="22"/>
        </w:rPr>
        <w:t xml:space="preserve">ontaktní osoba: </w:t>
      </w:r>
      <w:r w:rsidR="00775BDA" w:rsidRPr="008A36AE">
        <w:rPr>
          <w:rFonts w:ascii="Arial" w:hAnsi="Arial" w:cs="Arial"/>
          <w:i/>
          <w:sz w:val="22"/>
          <w:szCs w:val="22"/>
        </w:rPr>
        <w:t>Ing. Lukáš Valenta</w:t>
      </w:r>
      <w:r w:rsidRPr="008A36AE">
        <w:rPr>
          <w:rFonts w:ascii="Arial" w:hAnsi="Arial" w:cs="Arial"/>
          <w:i/>
          <w:sz w:val="22"/>
          <w:szCs w:val="22"/>
        </w:rPr>
        <w:t>, kancelář č. C 2.28, tel. 564 602 3</w:t>
      </w:r>
      <w:r w:rsidR="00775BDA" w:rsidRPr="008A36AE">
        <w:rPr>
          <w:rFonts w:ascii="Arial" w:hAnsi="Arial" w:cs="Arial"/>
          <w:i/>
          <w:sz w:val="22"/>
          <w:szCs w:val="22"/>
        </w:rPr>
        <w:t>87</w:t>
      </w:r>
      <w:r w:rsidRPr="008A36AE">
        <w:rPr>
          <w:rFonts w:ascii="Arial" w:hAnsi="Arial" w:cs="Arial"/>
          <w:i/>
          <w:sz w:val="22"/>
          <w:szCs w:val="22"/>
        </w:rPr>
        <w:t xml:space="preserve">, e-mail: </w:t>
      </w:r>
      <w:hyperlink r:id="rId10" w:history="1">
        <w:r w:rsidR="00775BDA" w:rsidRPr="008A36AE">
          <w:rPr>
            <w:rStyle w:val="Hypertextovodkaz"/>
            <w:rFonts w:ascii="Arial" w:hAnsi="Arial" w:cs="Arial"/>
            <w:i/>
            <w:sz w:val="22"/>
            <w:szCs w:val="22"/>
          </w:rPr>
          <w:t>valenta.l@kr-vysocina.cz</w:t>
        </w:r>
      </w:hyperlink>
      <w:r w:rsidR="00803665" w:rsidRPr="008A36AE">
        <w:rPr>
          <w:rFonts w:ascii="Arial" w:hAnsi="Arial" w:cs="Arial"/>
          <w:i/>
          <w:sz w:val="22"/>
          <w:szCs w:val="22"/>
        </w:rPr>
        <w:t xml:space="preserve">. </w:t>
      </w:r>
    </w:p>
    <w:p w:rsidR="00803665" w:rsidRPr="008A36AE" w:rsidRDefault="00803665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sz w:val="22"/>
          <w:szCs w:val="22"/>
        </w:rPr>
      </w:pP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>Zadavatel může poskytnout dodavatelům vysvětlení zadávací dokumentace i bez předchozí žádosti. Vysvětlení zadávací dokumentace uveřejní zadavatel na svém profilu zadavatel</w:t>
      </w:r>
      <w:r w:rsidR="00775BDA" w:rsidRPr="008A36AE">
        <w:rPr>
          <w:rFonts w:ascii="Arial" w:hAnsi="Arial" w:cs="Arial"/>
          <w:sz w:val="22"/>
          <w:szCs w:val="22"/>
        </w:rPr>
        <w:t xml:space="preserve">e. </w:t>
      </w:r>
      <w:r w:rsidR="00775BDA" w:rsidRPr="008542B3">
        <w:rPr>
          <w:rFonts w:ascii="Arial" w:hAnsi="Arial" w:cs="Arial"/>
          <w:spacing w:val="-4"/>
          <w:sz w:val="22"/>
          <w:szCs w:val="22"/>
        </w:rPr>
        <w:t>Zadavatel si vyhrazuje právo,</w:t>
      </w:r>
      <w:r w:rsidRPr="008542B3">
        <w:rPr>
          <w:rFonts w:ascii="Arial" w:hAnsi="Arial" w:cs="Arial"/>
          <w:spacing w:val="-4"/>
          <w:sz w:val="22"/>
          <w:szCs w:val="22"/>
        </w:rPr>
        <w:t xml:space="preserve"> v</w:t>
      </w:r>
      <w:r w:rsidR="00775BDA" w:rsidRPr="008542B3">
        <w:rPr>
          <w:rFonts w:ascii="Arial" w:hAnsi="Arial" w:cs="Arial"/>
          <w:spacing w:val="-4"/>
          <w:sz w:val="22"/>
          <w:szCs w:val="22"/>
        </w:rPr>
        <w:t> </w:t>
      </w:r>
      <w:r w:rsidRPr="008542B3">
        <w:rPr>
          <w:rFonts w:ascii="Arial" w:hAnsi="Arial" w:cs="Arial"/>
          <w:spacing w:val="-4"/>
          <w:sz w:val="22"/>
          <w:szCs w:val="22"/>
        </w:rPr>
        <w:t>případě kdy o vysvětlení zadávací dokumentace písemně požádá</w:t>
      </w:r>
      <w:r w:rsidRPr="008A36AE">
        <w:rPr>
          <w:rFonts w:ascii="Arial" w:hAnsi="Arial" w:cs="Arial"/>
          <w:sz w:val="22"/>
          <w:szCs w:val="22"/>
        </w:rPr>
        <w:t xml:space="preserve"> dodavatel, zaslat vysvětlení zadávací dokumentace uveřejněné na profilu rovněž</w:t>
      </w:r>
      <w:r w:rsidRPr="00EE46E5">
        <w:rPr>
          <w:rFonts w:ascii="Arial" w:hAnsi="Arial" w:cs="Arial"/>
          <w:sz w:val="22"/>
          <w:szCs w:val="22"/>
        </w:rPr>
        <w:t xml:space="preserve"> tázajícímu se dodavateli.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20" w:name="_Toc468796040"/>
      <w:r w:rsidRPr="00EE46E5">
        <w:t>Podmínky sestavení a podání nabídek</w:t>
      </w:r>
      <w:bookmarkEnd w:id="20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  <w:r w:rsidRPr="008A36AE">
        <w:rPr>
          <w:rFonts w:ascii="Arial" w:eastAsia="MS Mincho" w:hAnsi="Arial" w:cs="Arial"/>
          <w:b/>
          <w:sz w:val="22"/>
          <w:szCs w:val="22"/>
        </w:rPr>
        <w:t>,</w:t>
      </w:r>
    </w:p>
    <w:p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Pr="00C603C8">
        <w:rPr>
          <w:rFonts w:ascii="Arial" w:eastAsia="MS Mincho" w:hAnsi="Arial" w:cs="Arial"/>
          <w:b/>
          <w:sz w:val="22"/>
          <w:szCs w:val="22"/>
        </w:rPr>
        <w:t>,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>Nabídková cena bude uvedena v korunách českých (CZK), v členění: nabídková cena bez DPH, samostatně DPH (sazba DPH v %) a nabídková cena včetně DPH. Nabídková cena v této skladbě bude uvedena na krycím listu nabídky.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veřejné zakázky a vyplývají z podrobné specifikace díla. Rovněž cena autorského dozoru </w:t>
      </w:r>
      <w:r w:rsidRPr="00225E94">
        <w:rPr>
          <w:rFonts w:ascii="Arial" w:hAnsi="Arial" w:cs="Arial"/>
          <w:sz w:val="22"/>
          <w:szCs w:val="22"/>
        </w:rPr>
        <w:lastRenderedPageBreak/>
        <w:t>obsahuje veškeré související materiálové i režijní náklady</w:t>
      </w:r>
      <w:r w:rsidR="002E4FF8" w:rsidRPr="00225E94">
        <w:rPr>
          <w:rFonts w:ascii="Arial" w:hAnsi="Arial" w:cs="Arial"/>
          <w:sz w:val="22"/>
          <w:szCs w:val="22"/>
        </w:rPr>
        <w:t xml:space="preserve"> (např. nákl.</w:t>
      </w:r>
      <w:r w:rsidRPr="00225E94">
        <w:rPr>
          <w:rFonts w:ascii="Arial" w:hAnsi="Arial" w:cs="Arial"/>
          <w:sz w:val="22"/>
          <w:szCs w:val="22"/>
        </w:rPr>
        <w:t xml:space="preserve"> na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3" w:name="_Toc464039183"/>
      <w:bookmarkStart w:id="24" w:name="_Toc468796042"/>
      <w:r w:rsidRPr="00EE46E5">
        <w:rPr>
          <w:u w:val="single"/>
        </w:rPr>
        <w:t>Požadavky na kalkulaci nabídkové ceny</w:t>
      </w:r>
      <w:bookmarkEnd w:id="23"/>
      <w:bookmarkEnd w:id="24"/>
    </w:p>
    <w:p w:rsidR="00F63462" w:rsidRPr="00BD0B40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>předpokládaný výkon činnosti (v hodinách) za vypracování jednotlivých částí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8A36AE">
        <w:rPr>
          <w:rFonts w:ascii="Arial" w:hAnsi="Arial" w:cs="Arial"/>
          <w:sz w:val="22"/>
          <w:szCs w:val="22"/>
        </w:rPr>
        <w:t>dle podmínek zadávací dokumentace, s uvedením hodinových sazeb za výkon jednotlivých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činností. Součástí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>(s uvedením sazby za 1 hod. autorského dozoru). Součet ocenění jednotlivých činností uvedených v</w:t>
      </w:r>
      <w:r w:rsidR="00352744">
        <w:rPr>
          <w:rFonts w:ascii="Arial" w:hAnsi="Arial" w:cs="Arial"/>
          <w:sz w:val="22"/>
          <w:szCs w:val="22"/>
        </w:rPr>
        <w:t> cenové nabídce</w:t>
      </w:r>
      <w:r w:rsidR="00F63462" w:rsidRPr="00BD0B40">
        <w:rPr>
          <w:rFonts w:ascii="Arial" w:hAnsi="Arial" w:cs="Arial"/>
          <w:sz w:val="22"/>
          <w:szCs w:val="22"/>
        </w:rPr>
        <w:t xml:space="preserve"> bude totožný s nabídkovou cenou uvedenou na krycím listu a v návrhu smlouvy</w:t>
      </w:r>
      <w:r w:rsidR="00132A17" w:rsidRPr="00BD0B40">
        <w:rPr>
          <w:rFonts w:ascii="Arial" w:hAnsi="Arial" w:cs="Arial"/>
          <w:sz w:val="22"/>
          <w:szCs w:val="22"/>
        </w:rPr>
        <w:t xml:space="preserve"> o provedení veřejné zakázky</w:t>
      </w:r>
      <w:r w:rsidR="00F63462" w:rsidRPr="00BD0B40">
        <w:rPr>
          <w:rFonts w:ascii="Arial" w:hAnsi="Arial" w:cs="Arial"/>
          <w:sz w:val="22"/>
          <w:szCs w:val="22"/>
        </w:rPr>
        <w:t>.</w:t>
      </w:r>
      <w:r w:rsidR="00132A17" w:rsidRPr="00BD0B40">
        <w:rPr>
          <w:rFonts w:ascii="Arial" w:hAnsi="Arial" w:cs="Arial"/>
          <w:sz w:val="22"/>
          <w:szCs w:val="22"/>
        </w:rPr>
        <w:t xml:space="preserve">  </w:t>
      </w:r>
    </w:p>
    <w:p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5" w:name="_Toc468796043"/>
      <w:r w:rsidRPr="00EE46E5">
        <w:rPr>
          <w:u w:val="single"/>
        </w:rPr>
        <w:t>Požadavky na formu a způsob podání nabídek</w:t>
      </w:r>
      <w:bookmarkEnd w:id="25"/>
    </w:p>
    <w:p w:rsidR="00F63462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352744">
        <w:rPr>
          <w:rFonts w:ascii="Arial" w:hAnsi="Arial" w:cs="Arial"/>
          <w:sz w:val="22"/>
          <w:szCs w:val="22"/>
        </w:rPr>
        <w:t xml:space="preserve">Dodavatelé podají nabídku v písemné formě v jednom vyhotovení. Zadavatel požaduje, </w:t>
      </w:r>
      <w:r w:rsidR="009023B4" w:rsidRPr="00352744">
        <w:rPr>
          <w:rFonts w:ascii="Arial" w:hAnsi="Arial" w:cs="Arial"/>
          <w:sz w:val="22"/>
          <w:szCs w:val="22"/>
        </w:rPr>
        <w:t xml:space="preserve">          </w:t>
      </w:r>
      <w:r w:rsidRPr="00352744">
        <w:rPr>
          <w:rFonts w:ascii="Arial" w:hAnsi="Arial" w:cs="Arial"/>
          <w:sz w:val="22"/>
          <w:szCs w:val="22"/>
        </w:rPr>
        <w:t xml:space="preserve">aby dodavatelé podali své </w:t>
      </w:r>
      <w:r w:rsidRPr="00352744">
        <w:rPr>
          <w:rFonts w:ascii="Arial" w:hAnsi="Arial" w:cs="Arial"/>
          <w:sz w:val="22"/>
          <w:szCs w:val="22"/>
          <w:u w:val="single"/>
        </w:rPr>
        <w:t>nabídky v řádně uzavřené obálce zabezpečené proti možnému rozlepení.</w:t>
      </w:r>
      <w:r w:rsidRPr="00352744">
        <w:rPr>
          <w:rFonts w:ascii="Arial" w:hAnsi="Arial" w:cs="Arial"/>
          <w:sz w:val="22"/>
          <w:szCs w:val="22"/>
        </w:rPr>
        <w:t xml:space="preserve"> Obálka s nabídkou bude označena názvem zakázky - </w:t>
      </w:r>
      <w:r w:rsidRPr="00352744">
        <w:rPr>
          <w:rFonts w:ascii="Arial" w:hAnsi="Arial" w:cs="Arial"/>
          <w:b/>
          <w:sz w:val="22"/>
          <w:szCs w:val="22"/>
        </w:rPr>
        <w:t>VEŘEJNÁ ZAKÁZKA – NEOTVÍRAT –</w:t>
      </w:r>
      <w:r w:rsidR="00BB6DBE" w:rsidRPr="00352744">
        <w:rPr>
          <w:rFonts w:ascii="Arial" w:hAnsi="Arial" w:cs="Arial"/>
          <w:b/>
          <w:bCs/>
          <w:sz w:val="22"/>
          <w:szCs w:val="22"/>
        </w:rPr>
        <w:t xml:space="preserve"> </w:t>
      </w:r>
      <w:r w:rsidR="00D46195" w:rsidRPr="00352744">
        <w:rPr>
          <w:rFonts w:ascii="Arial" w:hAnsi="Arial" w:cs="Arial"/>
          <w:b/>
          <w:bCs/>
          <w:sz w:val="22"/>
          <w:szCs w:val="22"/>
        </w:rPr>
        <w:t>II/</w:t>
      </w:r>
      <w:r w:rsidR="0074079B">
        <w:rPr>
          <w:rFonts w:ascii="Arial" w:hAnsi="Arial" w:cs="Arial"/>
          <w:b/>
          <w:bCs/>
          <w:sz w:val="22"/>
          <w:szCs w:val="22"/>
        </w:rPr>
        <w:t>405 Zašovice</w:t>
      </w:r>
      <w:r w:rsidR="000711B7">
        <w:rPr>
          <w:rFonts w:ascii="Arial" w:hAnsi="Arial" w:cs="Arial"/>
          <w:b/>
          <w:bCs/>
          <w:sz w:val="22"/>
          <w:szCs w:val="22"/>
        </w:rPr>
        <w:t xml:space="preserve"> – obchvat, PD</w:t>
      </w:r>
      <w:r w:rsidRPr="00824ECD">
        <w:rPr>
          <w:rFonts w:ascii="Arial" w:hAnsi="Arial" w:cs="Arial"/>
          <w:sz w:val="22"/>
          <w:szCs w:val="22"/>
        </w:rPr>
        <w:t xml:space="preserve">. </w:t>
      </w:r>
      <w:r w:rsidRPr="00352744">
        <w:rPr>
          <w:rFonts w:ascii="Arial" w:hAnsi="Arial" w:cs="Arial"/>
          <w:sz w:val="22"/>
          <w:szCs w:val="22"/>
        </w:rPr>
        <w:t>N</w:t>
      </w:r>
      <w:r w:rsidRPr="00352744">
        <w:rPr>
          <w:rFonts w:ascii="Arial" w:hAnsi="Arial" w:cs="Arial"/>
          <w:bCs/>
          <w:sz w:val="22"/>
          <w:szCs w:val="22"/>
        </w:rPr>
        <w:t>a obálce bude uvedena adresa, na n</w:t>
      </w:r>
      <w:r w:rsidR="006D5C66" w:rsidRPr="00352744">
        <w:rPr>
          <w:rFonts w:ascii="Arial" w:hAnsi="Arial" w:cs="Arial"/>
          <w:bCs/>
          <w:sz w:val="22"/>
          <w:szCs w:val="22"/>
        </w:rPr>
        <w:t>i</w:t>
      </w:r>
      <w:r w:rsidRPr="00352744">
        <w:rPr>
          <w:rFonts w:ascii="Arial" w:hAnsi="Arial" w:cs="Arial"/>
          <w:bCs/>
          <w:sz w:val="22"/>
          <w:szCs w:val="22"/>
        </w:rPr>
        <w:t>ž je možné zaslat oznámení o tom, že nabídka byla podána po upl</w:t>
      </w:r>
      <w:r w:rsidR="0011309F">
        <w:rPr>
          <w:rFonts w:ascii="Arial" w:hAnsi="Arial" w:cs="Arial"/>
          <w:bCs/>
          <w:sz w:val="22"/>
          <w:szCs w:val="22"/>
        </w:rPr>
        <w:t>ynutí lhůty pro podání nabídek.</w:t>
      </w:r>
    </w:p>
    <w:p w:rsidR="0011309F" w:rsidRPr="00352744" w:rsidRDefault="0011309F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bude zpracována v písemné listinné formě v jednom vyhotovení, v českém jazyce.</w:t>
      </w:r>
      <w:r w:rsidRPr="0011309F">
        <w:t xml:space="preserve"> </w:t>
      </w:r>
      <w:r w:rsidRPr="0011309F">
        <w:rPr>
          <w:rFonts w:ascii="Arial" w:hAnsi="Arial" w:cs="Arial"/>
          <w:bCs/>
          <w:sz w:val="22"/>
          <w:szCs w:val="22"/>
        </w:rPr>
        <w:t>Případné vložené cizojazyčné listiny v originále musí mít př</w:t>
      </w:r>
      <w:r>
        <w:rPr>
          <w:rFonts w:ascii="Arial" w:hAnsi="Arial" w:cs="Arial"/>
          <w:bCs/>
          <w:sz w:val="22"/>
          <w:szCs w:val="22"/>
        </w:rPr>
        <w:t>eloženou úředně ověřenou kopii.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>povinni přiložit v nabídce originál nebo ověřenou kopii smlouvy, z níž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 </w:t>
      </w:r>
      <w:bookmarkStart w:id="26" w:name="_Toc464039192"/>
      <w:bookmarkStart w:id="27" w:name="_Toc468796044"/>
      <w:r w:rsidRPr="00EE46E5">
        <w:rPr>
          <w:u w:val="single"/>
        </w:rPr>
        <w:t>Požadavky na způsob zpracování nabídky a obsahové členění</w:t>
      </w:r>
      <w:bookmarkEnd w:id="26"/>
      <w:bookmarkEnd w:id="27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 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Doklady, </w:t>
      </w:r>
      <w:r w:rsidRPr="00E54597">
        <w:rPr>
          <w:rFonts w:ascii="Arial" w:hAnsi="Arial" w:cs="Arial"/>
          <w:spacing w:val="-4"/>
          <w:sz w:val="22"/>
          <w:szCs w:val="22"/>
        </w:rPr>
        <w:t>dokumenty, cenové podklady a další listiny doložené v nabídce musí být odpovídajícím způsobem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seřazeny, ucelené části nabídky jednoznačně označeny a jednotlivé listy nabídky pak očíslovány. </w:t>
      </w:r>
      <w:r w:rsidRPr="00E54597">
        <w:rPr>
          <w:rFonts w:ascii="Arial" w:hAnsi="Arial" w:cs="Arial"/>
          <w:spacing w:val="-6"/>
          <w:sz w:val="22"/>
          <w:szCs w:val="22"/>
        </w:rPr>
        <w:t>Před krycím listem bude vložen přehledný a očíslovaný obsah nabídky.  Jako celek musí být nabídka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54597">
        <w:rPr>
          <w:rFonts w:ascii="Arial" w:hAnsi="Arial" w:cs="Arial"/>
          <w:spacing w:val="-2"/>
          <w:sz w:val="22"/>
          <w:szCs w:val="22"/>
        </w:rPr>
        <w:t>řádně uzavřena (zapečetěna), případně jiným vhodným způsobem zabezpečena proti manipulaci</w:t>
      </w:r>
      <w:r w:rsidRPr="00EE46E5">
        <w:rPr>
          <w:rFonts w:ascii="Arial" w:hAnsi="Arial" w:cs="Arial"/>
          <w:sz w:val="22"/>
          <w:szCs w:val="22"/>
        </w:rPr>
        <w:t xml:space="preserve"> s jednotlivými listy nabídky. </w:t>
      </w:r>
    </w:p>
    <w:p w:rsidR="008F5DF6" w:rsidRPr="00EE46E5" w:rsidRDefault="00F63462" w:rsidP="008F5DF6">
      <w:pPr>
        <w:spacing w:before="120" w:line="264" w:lineRule="auto"/>
        <w:jc w:val="both"/>
        <w:rPr>
          <w:rFonts w:ascii="Arial" w:hAnsi="Arial" w:cs="Arial"/>
          <w:szCs w:val="22"/>
        </w:rPr>
      </w:pPr>
      <w:r w:rsidRPr="00EE46E5">
        <w:rPr>
          <w:rFonts w:ascii="Arial" w:hAnsi="Arial" w:cs="Arial"/>
          <w:sz w:val="22"/>
          <w:szCs w:val="22"/>
        </w:rPr>
        <w:t>Nabídka nesmí obsahovat přepisy a opravy, které by mohly zadavatele uvést v omyl a všechny tisky a kopie musí být dobře čitelné. Jednotlivé listy nabídky budou pevně svázány tak, aby bylo znemožněno manipulování s jednotlivými listy nabídky. Všechny listy nabídky, včetně příloh, budou řádně očíslovány vzestupnou, nepřerušenou číselnou řadou.</w:t>
      </w:r>
    </w:p>
    <w:p w:rsidR="008F5DF6" w:rsidRPr="00C1306C" w:rsidRDefault="008F5DF6" w:rsidP="008F5DF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1306C">
        <w:rPr>
          <w:rFonts w:ascii="Arial" w:hAnsi="Arial" w:cs="Arial"/>
          <w:sz w:val="22"/>
          <w:szCs w:val="22"/>
        </w:rPr>
        <w:t xml:space="preserve">Zadavatel přivítá předložení kopie nabídky </w:t>
      </w:r>
      <w:r w:rsidR="00BA5351">
        <w:rPr>
          <w:rFonts w:ascii="Arial" w:hAnsi="Arial" w:cs="Arial"/>
          <w:sz w:val="22"/>
          <w:szCs w:val="22"/>
        </w:rPr>
        <w:t>dodavatele</w:t>
      </w:r>
      <w:r w:rsidRPr="00C1306C">
        <w:rPr>
          <w:rFonts w:ascii="Arial" w:hAnsi="Arial" w:cs="Arial"/>
          <w:sz w:val="22"/>
          <w:szCs w:val="22"/>
        </w:rPr>
        <w:t xml:space="preserve"> v elektronické podobě na CD. </w:t>
      </w:r>
    </w:p>
    <w:p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lastRenderedPageBreak/>
        <w:t>Dodavatel závazně použije pořadí dokumentů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:rsidR="00F63462" w:rsidRPr="00EE46E5" w:rsidRDefault="004B6E1A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  <w:r w:rsidR="0022336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F63462" w:rsidRPr="00EE46E5" w:rsidRDefault="004B6E1A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54597">
        <w:rPr>
          <w:rFonts w:ascii="Arial" w:hAnsi="Arial" w:cs="Arial"/>
          <w:b/>
          <w:bCs/>
          <w:i/>
          <w:iCs/>
          <w:sz w:val="22"/>
          <w:szCs w:val="22"/>
        </w:rPr>
        <w:t>bsah nabídky</w:t>
      </w:r>
      <w:r w:rsidR="0022336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(Pro předložení seznamu poskytuje zadavatel závazný </w:t>
      </w:r>
      <w:r>
        <w:rPr>
          <w:rFonts w:ascii="Arial" w:hAnsi="Arial" w:cs="Arial"/>
          <w:sz w:val="22"/>
          <w:szCs w:val="22"/>
        </w:rPr>
        <w:t xml:space="preserve">vzor Krycího </w:t>
      </w:r>
      <w:r w:rsidRPr="00A40AE2">
        <w:rPr>
          <w:rFonts w:ascii="Arial" w:hAnsi="Arial" w:cs="Arial"/>
          <w:spacing w:val="-2"/>
          <w:sz w:val="22"/>
          <w:szCs w:val="22"/>
        </w:rPr>
        <w:t xml:space="preserve">listu nabídky, viz příloha </w:t>
      </w:r>
      <w:r w:rsidR="007D78FD">
        <w:rPr>
          <w:rFonts w:ascii="Arial" w:hAnsi="Arial" w:cs="Arial"/>
          <w:sz w:val="22"/>
          <w:szCs w:val="22"/>
        </w:rPr>
        <w:t>zadávací dokumentace</w:t>
      </w:r>
      <w:r w:rsidRPr="00A40AE2">
        <w:rPr>
          <w:rFonts w:ascii="Arial" w:hAnsi="Arial" w:cs="Arial"/>
          <w:spacing w:val="-2"/>
          <w:sz w:val="22"/>
          <w:szCs w:val="22"/>
        </w:rPr>
        <w:t>. Na krycím listu budou uvedeny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E4682C">
        <w:rPr>
          <w:rFonts w:ascii="Arial" w:hAnsi="Arial" w:cs="Arial"/>
          <w:spacing w:val="-4"/>
          <w:sz w:val="22"/>
          <w:szCs w:val="22"/>
        </w:rPr>
        <w:t>následující údaje: název veřejné zakázky, základní identifikační údaje zadavatele a dodavatele</w:t>
      </w:r>
      <w:r w:rsidRPr="008A4F6F">
        <w:rPr>
          <w:rFonts w:ascii="Arial" w:hAnsi="Arial" w:cs="Arial"/>
          <w:sz w:val="22"/>
          <w:szCs w:val="22"/>
        </w:rPr>
        <w:t xml:space="preserve"> (včetně osob </w:t>
      </w:r>
      <w:r w:rsidRPr="00370030">
        <w:rPr>
          <w:rFonts w:ascii="Arial" w:hAnsi="Arial" w:cs="Arial"/>
          <w:spacing w:val="2"/>
          <w:sz w:val="22"/>
          <w:szCs w:val="22"/>
        </w:rPr>
        <w:t xml:space="preserve">zmocněných k dalším jednáním), nabídková </w:t>
      </w:r>
      <w:r w:rsidRPr="00370030">
        <w:rPr>
          <w:rFonts w:ascii="Arial" w:hAnsi="Arial" w:cs="Arial"/>
          <w:bCs/>
          <w:spacing w:val="2"/>
          <w:sz w:val="22"/>
          <w:szCs w:val="22"/>
        </w:rPr>
        <w:t>cena</w:t>
      </w:r>
      <w:r w:rsidRPr="00370030">
        <w:rPr>
          <w:rFonts w:ascii="Arial" w:hAnsi="Arial" w:cs="Arial"/>
          <w:spacing w:val="2"/>
          <w:sz w:val="22"/>
          <w:szCs w:val="22"/>
        </w:rPr>
        <w:t xml:space="preserve"> v členění na stupně plnění podle Výzvy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370030">
        <w:rPr>
          <w:rFonts w:ascii="Arial" w:hAnsi="Arial" w:cs="Arial"/>
          <w:spacing w:val="-4"/>
          <w:sz w:val="22"/>
          <w:szCs w:val="22"/>
        </w:rPr>
        <w:t>pro podání nabídek, délka praxe člena realizačního týmu – vedoucího projektu</w:t>
      </w:r>
      <w:r w:rsidRPr="00370030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370030">
        <w:rPr>
          <w:rFonts w:ascii="Arial" w:hAnsi="Arial" w:cs="Arial"/>
          <w:spacing w:val="-4"/>
          <w:sz w:val="22"/>
          <w:szCs w:val="22"/>
        </w:rPr>
        <w:t xml:space="preserve">datum a </w:t>
      </w:r>
      <w:r w:rsidRPr="00370030">
        <w:rPr>
          <w:rFonts w:ascii="Arial" w:hAnsi="Arial" w:cs="Arial"/>
          <w:bCs/>
          <w:spacing w:val="-4"/>
          <w:sz w:val="22"/>
          <w:szCs w:val="22"/>
        </w:rPr>
        <w:t>podpis</w:t>
      </w:r>
      <w:r w:rsidRPr="008A4F6F">
        <w:rPr>
          <w:rFonts w:ascii="Arial" w:hAnsi="Arial" w:cs="Arial"/>
          <w:sz w:val="22"/>
          <w:szCs w:val="22"/>
        </w:rPr>
        <w:t xml:space="preserve"> osoby oprávněné jednat jménem nebo za </w:t>
      </w:r>
      <w:r>
        <w:rPr>
          <w:rFonts w:ascii="Arial" w:hAnsi="Arial" w:cs="Arial"/>
          <w:sz w:val="22"/>
          <w:szCs w:val="22"/>
        </w:rPr>
        <w:t>dodavatele),</w:t>
      </w:r>
    </w:p>
    <w:p w:rsidR="00F63462" w:rsidRPr="00EE46E5" w:rsidRDefault="00223363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  <w:r w:rsidR="0037003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2FC7" w:rsidRPr="003E5D9B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návrh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2FC7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nabídka,</w:t>
      </w:r>
    </w:p>
    <w:p w:rsidR="00A72FC7" w:rsidRPr="00EE46E5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identifikace člena realizačního týmu,</w:t>
      </w:r>
    </w:p>
    <w:p w:rsidR="00A72FC7" w:rsidRDefault="00A72FC7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370030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63462" w:rsidRPr="00EE46E5" w:rsidRDefault="00F63462" w:rsidP="00E54597">
      <w:pPr>
        <w:pStyle w:val="Nadpis1"/>
        <w:spacing w:before="240"/>
        <w:ind w:left="431" w:hanging="431"/>
      </w:pPr>
      <w:bookmarkStart w:id="28" w:name="_Toc464039186"/>
      <w:bookmarkStart w:id="29" w:name="_Toc468796045"/>
      <w:r w:rsidRPr="00EE46E5">
        <w:t>Termín a místo podání nabídek</w:t>
      </w:r>
      <w:bookmarkEnd w:id="28"/>
      <w:r w:rsidRPr="00EE46E5">
        <w:t xml:space="preserve"> veřejné zakázky</w:t>
      </w:r>
      <w:bookmarkEnd w:id="29"/>
    </w:p>
    <w:p w:rsidR="00F63462" w:rsidRPr="004B02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76B0B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C76B0B">
        <w:rPr>
          <w:rFonts w:ascii="Arial" w:hAnsi="Arial" w:cs="Arial"/>
          <w:b/>
          <w:sz w:val="22"/>
          <w:szCs w:val="22"/>
        </w:rPr>
        <w:t xml:space="preserve">do </w:t>
      </w:r>
      <w:r w:rsidR="004C6270" w:rsidRPr="00C76B0B">
        <w:rPr>
          <w:rFonts w:ascii="Arial" w:hAnsi="Arial" w:cs="Arial"/>
          <w:b/>
          <w:sz w:val="22"/>
          <w:szCs w:val="22"/>
        </w:rPr>
        <w:t>19</w:t>
      </w:r>
      <w:r w:rsidR="00C7620A" w:rsidRPr="00C76B0B">
        <w:rPr>
          <w:rFonts w:ascii="Arial" w:hAnsi="Arial" w:cs="Arial"/>
          <w:b/>
          <w:sz w:val="22"/>
          <w:szCs w:val="22"/>
        </w:rPr>
        <w:t>. 7</w:t>
      </w:r>
      <w:r w:rsidR="001104F9" w:rsidRPr="00C76B0B">
        <w:rPr>
          <w:rFonts w:ascii="Arial" w:hAnsi="Arial" w:cs="Arial"/>
          <w:b/>
          <w:sz w:val="22"/>
          <w:szCs w:val="22"/>
        </w:rPr>
        <w:t>. 2018</w:t>
      </w:r>
      <w:r w:rsidR="00D00FDE" w:rsidRPr="00C76B0B">
        <w:rPr>
          <w:rFonts w:ascii="Arial" w:hAnsi="Arial" w:cs="Arial"/>
          <w:b/>
          <w:sz w:val="22"/>
          <w:szCs w:val="22"/>
        </w:rPr>
        <w:t xml:space="preserve"> </w:t>
      </w:r>
      <w:r w:rsidRPr="00C76B0B">
        <w:rPr>
          <w:rFonts w:ascii="Arial" w:hAnsi="Arial" w:cs="Arial"/>
          <w:b/>
          <w:sz w:val="22"/>
          <w:szCs w:val="22"/>
        </w:rPr>
        <w:t xml:space="preserve">do </w:t>
      </w:r>
      <w:r w:rsidR="00171F20" w:rsidRPr="00C76B0B">
        <w:rPr>
          <w:rFonts w:ascii="Arial" w:hAnsi="Arial" w:cs="Arial"/>
          <w:b/>
          <w:sz w:val="22"/>
          <w:szCs w:val="22"/>
        </w:rPr>
        <w:t>1</w:t>
      </w:r>
      <w:r w:rsidR="004C6270" w:rsidRPr="00C76B0B">
        <w:rPr>
          <w:rFonts w:ascii="Arial" w:hAnsi="Arial" w:cs="Arial"/>
          <w:b/>
          <w:sz w:val="22"/>
          <w:szCs w:val="22"/>
        </w:rPr>
        <w:t>1</w:t>
      </w:r>
      <w:r w:rsidRPr="00C76B0B">
        <w:rPr>
          <w:rFonts w:ascii="Arial" w:hAnsi="Arial" w:cs="Arial"/>
          <w:b/>
          <w:sz w:val="22"/>
          <w:szCs w:val="22"/>
        </w:rPr>
        <w:t>:</w:t>
      </w:r>
      <w:r w:rsidR="00F37AAE" w:rsidRPr="00C76B0B">
        <w:rPr>
          <w:rFonts w:ascii="Arial" w:hAnsi="Arial" w:cs="Arial"/>
          <w:b/>
          <w:sz w:val="22"/>
          <w:szCs w:val="22"/>
        </w:rPr>
        <w:t>0</w:t>
      </w:r>
      <w:r w:rsidRPr="00C76B0B">
        <w:rPr>
          <w:rFonts w:ascii="Arial" w:hAnsi="Arial" w:cs="Arial"/>
          <w:b/>
          <w:sz w:val="22"/>
          <w:szCs w:val="22"/>
        </w:rPr>
        <w:t>0 hod.</w:t>
      </w:r>
    </w:p>
    <w:p w:rsidR="00F63462" w:rsidRPr="00DA10CA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23B2A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</w:t>
      </w:r>
      <w:r w:rsidR="006B0B5B" w:rsidRPr="00E23B2A">
        <w:rPr>
          <w:rFonts w:ascii="Arial" w:hAnsi="Arial" w:cs="Arial"/>
          <w:spacing w:val="2"/>
          <w:sz w:val="22"/>
          <w:szCs w:val="22"/>
        </w:rPr>
        <w:t>u</w:t>
      </w:r>
      <w:r w:rsidRPr="00E23B2A">
        <w:rPr>
          <w:rFonts w:ascii="Arial" w:hAnsi="Arial" w:cs="Arial"/>
          <w:spacing w:val="2"/>
          <w:sz w:val="22"/>
          <w:szCs w:val="22"/>
        </w:rPr>
        <w:t xml:space="preserve"> zadavatele</w:t>
      </w:r>
      <w:r w:rsidRPr="00DA10CA">
        <w:rPr>
          <w:rFonts w:ascii="Arial" w:hAnsi="Arial" w:cs="Arial"/>
          <w:sz w:val="22"/>
          <w:szCs w:val="22"/>
        </w:rPr>
        <w:t xml:space="preserve"> </w:t>
      </w:r>
      <w:r w:rsidRPr="00E23B2A">
        <w:rPr>
          <w:rFonts w:ascii="Arial" w:hAnsi="Arial" w:cs="Arial"/>
          <w:spacing w:val="-4"/>
          <w:sz w:val="22"/>
          <w:szCs w:val="22"/>
        </w:rPr>
        <w:t xml:space="preserve">na adrese Krajský úřad Kraje Vysočina, Žižkova </w:t>
      </w:r>
      <w:r w:rsidR="00E23B2A" w:rsidRPr="00E23B2A">
        <w:rPr>
          <w:rFonts w:ascii="Arial" w:hAnsi="Arial" w:cs="Arial"/>
          <w:spacing w:val="-4"/>
          <w:sz w:val="22"/>
          <w:szCs w:val="22"/>
        </w:rPr>
        <w:t>1882/</w:t>
      </w:r>
      <w:r w:rsidRPr="00E23B2A">
        <w:rPr>
          <w:rFonts w:ascii="Arial" w:hAnsi="Arial" w:cs="Arial"/>
          <w:spacing w:val="-4"/>
          <w:sz w:val="22"/>
          <w:szCs w:val="22"/>
        </w:rPr>
        <w:t>57, 587 33 Jihlava. Provozní doba podatelny</w:t>
      </w:r>
      <w:r w:rsidR="00E23B2A">
        <w:rPr>
          <w:rFonts w:ascii="Arial" w:hAnsi="Arial" w:cs="Arial"/>
          <w:sz w:val="22"/>
          <w:szCs w:val="22"/>
        </w:rPr>
        <w:t xml:space="preserve"> </w:t>
      </w:r>
      <w:r w:rsidR="00E23B2A" w:rsidRPr="00E23B2A">
        <w:rPr>
          <w:rFonts w:ascii="Arial" w:hAnsi="Arial" w:cs="Arial"/>
          <w:spacing w:val="2"/>
          <w:sz w:val="22"/>
          <w:szCs w:val="22"/>
        </w:rPr>
        <w:t>je v úterý,</w:t>
      </w:r>
      <w:r w:rsidRPr="00E23B2A">
        <w:rPr>
          <w:rFonts w:ascii="Arial" w:hAnsi="Arial" w:cs="Arial"/>
          <w:spacing w:val="2"/>
          <w:sz w:val="22"/>
          <w:szCs w:val="22"/>
        </w:rPr>
        <w:t xml:space="preserve"> čtvrtek a pátek v době od 8.00 hod. do 13.00 hod., v pondělí a ve středu </w:t>
      </w:r>
      <w:r w:rsidR="00E23B2A" w:rsidRPr="00E23B2A">
        <w:rPr>
          <w:rFonts w:ascii="Arial" w:hAnsi="Arial" w:cs="Arial"/>
          <w:spacing w:val="2"/>
          <w:sz w:val="22"/>
          <w:szCs w:val="22"/>
        </w:rPr>
        <w:t xml:space="preserve">je </w:t>
      </w:r>
      <w:r w:rsidRPr="00E23B2A">
        <w:rPr>
          <w:rFonts w:ascii="Arial" w:hAnsi="Arial" w:cs="Arial"/>
          <w:spacing w:val="2"/>
          <w:sz w:val="22"/>
          <w:szCs w:val="22"/>
        </w:rPr>
        <w:t>v době</w:t>
      </w:r>
      <w:r w:rsidRPr="00DA10CA">
        <w:rPr>
          <w:rFonts w:ascii="Arial" w:hAnsi="Arial" w:cs="Arial"/>
          <w:sz w:val="22"/>
          <w:szCs w:val="22"/>
        </w:rPr>
        <w:t xml:space="preserve"> od 8.00 hod. do 17.00 hod.</w:t>
      </w:r>
    </w:p>
    <w:p w:rsidR="00F63462" w:rsidRPr="00DA10CA" w:rsidRDefault="00F63462" w:rsidP="00910D0C">
      <w:pPr>
        <w:pStyle w:val="Nadpis1"/>
        <w:spacing w:before="480"/>
        <w:ind w:left="431" w:hanging="431"/>
      </w:pPr>
      <w:bookmarkStart w:id="30" w:name="_Toc464039187"/>
      <w:bookmarkStart w:id="31" w:name="_Toc468796046"/>
      <w:r w:rsidRPr="00DA10CA">
        <w:t>Termín a místo otevírání obálek</w:t>
      </w:r>
      <w:bookmarkEnd w:id="30"/>
      <w:r w:rsidRPr="00DA10CA">
        <w:t xml:space="preserve"> veřejné zakázky</w:t>
      </w:r>
      <w:bookmarkEnd w:id="31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76B0B">
        <w:rPr>
          <w:rFonts w:ascii="Arial" w:hAnsi="Arial" w:cs="Arial"/>
          <w:spacing w:val="-6"/>
          <w:sz w:val="22"/>
          <w:szCs w:val="22"/>
        </w:rPr>
        <w:t xml:space="preserve">Otevírání obálek s nabídkami proběhne v sídle zadavatele dne </w:t>
      </w:r>
      <w:r w:rsidR="004C6270" w:rsidRPr="00C76B0B">
        <w:rPr>
          <w:rFonts w:ascii="Arial" w:hAnsi="Arial" w:cs="Arial"/>
          <w:b/>
          <w:spacing w:val="-6"/>
          <w:sz w:val="22"/>
          <w:szCs w:val="22"/>
        </w:rPr>
        <w:t>19. 7</w:t>
      </w:r>
      <w:r w:rsidR="001104F9" w:rsidRPr="00C76B0B">
        <w:rPr>
          <w:rFonts w:ascii="Arial" w:hAnsi="Arial" w:cs="Arial"/>
          <w:b/>
          <w:spacing w:val="-6"/>
          <w:sz w:val="22"/>
          <w:szCs w:val="22"/>
        </w:rPr>
        <w:t>. 2018</w:t>
      </w:r>
      <w:r w:rsidR="009F3D61" w:rsidRPr="00C76B0B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FB2660" w:rsidRPr="00C76B0B">
        <w:rPr>
          <w:rFonts w:ascii="Arial" w:hAnsi="Arial" w:cs="Arial"/>
          <w:b/>
          <w:spacing w:val="-6"/>
          <w:sz w:val="22"/>
          <w:szCs w:val="22"/>
        </w:rPr>
        <w:t>od</w:t>
      </w:r>
      <w:r w:rsidR="00F37AAE" w:rsidRPr="00C76B0B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406FFE" w:rsidRPr="00C76B0B">
        <w:rPr>
          <w:rFonts w:ascii="Arial" w:hAnsi="Arial" w:cs="Arial"/>
          <w:b/>
          <w:spacing w:val="-6"/>
          <w:sz w:val="22"/>
          <w:szCs w:val="22"/>
        </w:rPr>
        <w:t>1</w:t>
      </w:r>
      <w:r w:rsidR="004C6270" w:rsidRPr="00C76B0B">
        <w:rPr>
          <w:rFonts w:ascii="Arial" w:hAnsi="Arial" w:cs="Arial"/>
          <w:b/>
          <w:spacing w:val="-6"/>
          <w:sz w:val="22"/>
          <w:szCs w:val="22"/>
        </w:rPr>
        <w:t>1</w:t>
      </w:r>
      <w:r w:rsidR="00406FFE" w:rsidRPr="00C76B0B">
        <w:rPr>
          <w:rFonts w:ascii="Arial" w:hAnsi="Arial" w:cs="Arial"/>
          <w:b/>
          <w:spacing w:val="-6"/>
          <w:sz w:val="22"/>
          <w:szCs w:val="22"/>
        </w:rPr>
        <w:t>:15</w:t>
      </w:r>
      <w:r w:rsidR="00F37AAE" w:rsidRPr="00C76B0B">
        <w:rPr>
          <w:rFonts w:ascii="Arial" w:hAnsi="Arial" w:cs="Arial"/>
          <w:b/>
          <w:spacing w:val="-6"/>
          <w:sz w:val="22"/>
          <w:szCs w:val="22"/>
        </w:rPr>
        <w:t xml:space="preserve"> hod</w:t>
      </w:r>
      <w:r w:rsidRPr="00C76B0B">
        <w:rPr>
          <w:rFonts w:ascii="Arial" w:hAnsi="Arial" w:cs="Arial"/>
          <w:b/>
          <w:spacing w:val="-6"/>
          <w:sz w:val="22"/>
          <w:szCs w:val="22"/>
        </w:rPr>
        <w:t>.</w:t>
      </w:r>
      <w:r w:rsidRPr="00C76B0B">
        <w:rPr>
          <w:rFonts w:ascii="Arial" w:hAnsi="Arial" w:cs="Arial"/>
          <w:spacing w:val="-6"/>
          <w:sz w:val="22"/>
          <w:szCs w:val="22"/>
        </w:rPr>
        <w:t xml:space="preserve"> </w:t>
      </w:r>
      <w:r w:rsidR="000E5FF8" w:rsidRPr="00C76B0B">
        <w:rPr>
          <w:rFonts w:ascii="Arial" w:hAnsi="Arial" w:cs="Arial"/>
          <w:spacing w:val="-6"/>
          <w:sz w:val="22"/>
          <w:szCs w:val="22"/>
        </w:rPr>
        <w:t xml:space="preserve">v </w:t>
      </w:r>
      <w:r w:rsidRPr="00C76B0B">
        <w:rPr>
          <w:rFonts w:ascii="Arial" w:hAnsi="Arial" w:cs="Arial"/>
          <w:spacing w:val="-6"/>
          <w:sz w:val="22"/>
          <w:szCs w:val="22"/>
        </w:rPr>
        <w:t>zasedací</w:t>
      </w:r>
      <w:r w:rsidRPr="00C76B0B">
        <w:rPr>
          <w:rFonts w:ascii="Arial" w:hAnsi="Arial" w:cs="Arial"/>
          <w:sz w:val="22"/>
          <w:szCs w:val="22"/>
        </w:rPr>
        <w:t xml:space="preserve"> místnost</w:t>
      </w:r>
      <w:r w:rsidR="00D57E81" w:rsidRPr="00C76B0B">
        <w:rPr>
          <w:rFonts w:ascii="Arial" w:hAnsi="Arial" w:cs="Arial"/>
          <w:sz w:val="22"/>
          <w:szCs w:val="22"/>
        </w:rPr>
        <w:t>i</w:t>
      </w:r>
      <w:r w:rsidRPr="00C76B0B">
        <w:rPr>
          <w:rFonts w:ascii="Arial" w:hAnsi="Arial" w:cs="Arial"/>
          <w:sz w:val="22"/>
          <w:szCs w:val="22"/>
        </w:rPr>
        <w:t xml:space="preserve"> </w:t>
      </w:r>
      <w:r w:rsidRPr="00C76B0B">
        <w:rPr>
          <w:rFonts w:ascii="Arial" w:hAnsi="Arial" w:cs="Arial"/>
          <w:b/>
          <w:sz w:val="22"/>
          <w:szCs w:val="22"/>
        </w:rPr>
        <w:t>C 2.26.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F4D6E">
        <w:rPr>
          <w:rFonts w:ascii="Arial" w:hAnsi="Arial" w:cs="Arial"/>
          <w:spacing w:val="-4"/>
          <w:sz w:val="22"/>
          <w:szCs w:val="22"/>
        </w:rPr>
        <w:t>Otevírání obálek s nabídkami se může zúčastnit maximálně jeden zástupce dodavatele, který podal</w:t>
      </w:r>
      <w:r w:rsidRPr="00EE46E5">
        <w:rPr>
          <w:rFonts w:ascii="Arial" w:hAnsi="Arial" w:cs="Arial"/>
          <w:sz w:val="22"/>
          <w:szCs w:val="22"/>
        </w:rPr>
        <w:t xml:space="preserve"> nabídku do konce lhůty pro podání nabídek. Zástupce dodavatele se prokáže dokladem totožnosti a plnou mocí podepsanou osobou oprávněnou za dodavatele jednat, pokud sám není touto osobou. </w:t>
      </w:r>
    </w:p>
    <w:p w:rsidR="00F63462" w:rsidRPr="00045D2C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bookmarkStart w:id="32" w:name="_Toc464039188"/>
      <w:bookmarkStart w:id="33" w:name="_Toc468796049"/>
      <w:r w:rsidRPr="00EE46E5">
        <w:t>Nesoulad údajů o veřejné zakázce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 případě, že vznikne rozpor mezi údaji o veřejné zakázce obsaženými v různých částech </w:t>
      </w:r>
      <w:r w:rsidR="00C4633A" w:rsidRPr="006E4568">
        <w:rPr>
          <w:rFonts w:ascii="Arial" w:hAnsi="Arial" w:cs="Arial"/>
          <w:spacing w:val="-2"/>
          <w:sz w:val="22"/>
          <w:szCs w:val="22"/>
        </w:rPr>
        <w:t>zadávací dokumentace</w:t>
      </w:r>
      <w:r w:rsidRPr="006E4568">
        <w:rPr>
          <w:rFonts w:ascii="Arial" w:hAnsi="Arial" w:cs="Arial"/>
          <w:spacing w:val="-2"/>
          <w:sz w:val="22"/>
          <w:szCs w:val="22"/>
        </w:rPr>
        <w:t>, jsou pro zpracování nabídky podstatné údaje obsažené v</w:t>
      </w:r>
      <w:r w:rsidR="006E4568" w:rsidRPr="006E4568">
        <w:rPr>
          <w:rFonts w:ascii="Arial" w:hAnsi="Arial" w:cs="Arial"/>
          <w:spacing w:val="-2"/>
          <w:sz w:val="22"/>
          <w:szCs w:val="22"/>
        </w:rPr>
        <w:t> návrhu smlouvy</w:t>
      </w:r>
      <w:r w:rsidR="006E4568">
        <w:rPr>
          <w:rFonts w:ascii="Arial" w:hAnsi="Arial" w:cs="Arial"/>
          <w:sz w:val="22"/>
          <w:szCs w:val="22"/>
        </w:rPr>
        <w:t xml:space="preserve"> o provedení veřejné zakázky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Pr="000A671D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případě, že vznikne rozpor mezi údaji o nabídkové ceně obsaženými v různých částech nabídky podané účastníkem zadávacího řízení, je pro hodnocení a posouzení nabídko</w:t>
      </w:r>
      <w:r w:rsidR="006E4568">
        <w:rPr>
          <w:rFonts w:ascii="Arial" w:hAnsi="Arial" w:cs="Arial"/>
          <w:sz w:val="22"/>
          <w:szCs w:val="22"/>
        </w:rPr>
        <w:t xml:space="preserve">vé ceny </w:t>
      </w:r>
      <w:r w:rsidR="006E4568" w:rsidRPr="000A671D">
        <w:rPr>
          <w:rFonts w:ascii="Arial" w:hAnsi="Arial" w:cs="Arial"/>
          <w:sz w:val="22"/>
          <w:szCs w:val="22"/>
        </w:rPr>
        <w:t>podstatný údaj obsažený</w:t>
      </w:r>
      <w:r w:rsidR="000A671D" w:rsidRPr="000A671D">
        <w:rPr>
          <w:rFonts w:ascii="Arial" w:hAnsi="Arial" w:cs="Arial"/>
          <w:sz w:val="22"/>
          <w:szCs w:val="22"/>
        </w:rPr>
        <w:t xml:space="preserve"> </w:t>
      </w:r>
      <w:r w:rsidR="006E4568" w:rsidRPr="000A671D">
        <w:rPr>
          <w:rFonts w:ascii="Arial" w:hAnsi="Arial" w:cs="Arial"/>
          <w:sz w:val="22"/>
          <w:szCs w:val="22"/>
        </w:rPr>
        <w:t>v návrhu smlouvy o provedení veřejné zakázky</w:t>
      </w:r>
      <w:r w:rsidRPr="000A671D">
        <w:rPr>
          <w:rFonts w:ascii="Arial" w:hAnsi="Arial" w:cs="Arial"/>
          <w:sz w:val="22"/>
          <w:szCs w:val="22"/>
        </w:rPr>
        <w:t xml:space="preserve"> předložený účastníkem v nabídce.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34" w:name="_Toc464039191"/>
      <w:bookmarkStart w:id="35" w:name="_Toc468796050"/>
      <w:r w:rsidRPr="00EE46E5">
        <w:t>Hodnocení nabídek</w:t>
      </w:r>
      <w:bookmarkEnd w:id="34"/>
      <w:bookmarkEnd w:id="35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</w:t>
      </w:r>
      <w:r w:rsidRPr="00EE46E5">
        <w:rPr>
          <w:rFonts w:ascii="Arial" w:hAnsi="Arial" w:cs="Arial"/>
          <w:sz w:val="22"/>
          <w:szCs w:val="22"/>
        </w:rPr>
        <w:lastRenderedPageBreak/>
        <w:t xml:space="preserve">hodnocena v souladu s § 114 odst. 2, věta první,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s § 115 odst. 1 písm. a) zákona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>Zadavatel stanovil v souladu s § 115 odst. 1 písm. b) zákona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tvoří </w:t>
      </w:r>
      <w:r w:rsidR="003F5953" w:rsidRPr="00D071FD">
        <w:rPr>
          <w:rFonts w:ascii="Arial" w:hAnsi="Arial" w:cs="Arial"/>
          <w:spacing w:val="-4"/>
          <w:sz w:val="22"/>
          <w:szCs w:val="22"/>
        </w:rPr>
        <w:t>přílohu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této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>. Účastník 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lastRenderedPageBreak/>
        <w:t>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stanovil v souladu s § 115 odst. 1 písm. c) zákona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Účastníkům, jejichž nabídky získaly shodné bodové hodnoty, bude umožněna účast na tomto losování.</w:t>
      </w:r>
    </w:p>
    <w:p w:rsidR="00163B7E" w:rsidRPr="00344E72" w:rsidRDefault="00163B7E" w:rsidP="00D81FA9">
      <w:pPr>
        <w:pStyle w:val="Nadpis1"/>
        <w:spacing w:before="600"/>
        <w:ind w:left="431" w:hanging="43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D81FA9">
      <w:pPr>
        <w:pStyle w:val="Nadpis1"/>
        <w:spacing w:before="600"/>
        <w:ind w:left="431" w:hanging="431"/>
      </w:pPr>
      <w:bookmarkStart w:id="36" w:name="_Toc468796052"/>
      <w:r w:rsidRPr="00EE46E5">
        <w:t>Komunikace s dodavateli</w:t>
      </w:r>
      <w:bookmarkEnd w:id="36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Komunikace mezi zadavatelem a dodavateli v tomto zadávacím řízení bude, v souladu s § 211 </w:t>
      </w:r>
      <w:r w:rsidRPr="00950D1D">
        <w:rPr>
          <w:rFonts w:ascii="Arial" w:hAnsi="Arial" w:cs="Arial"/>
          <w:spacing w:val="-4"/>
          <w:sz w:val="22"/>
          <w:szCs w:val="22"/>
        </w:rPr>
        <w:t>odst. 1 zákona, probíhat zásadně písemně. Písemná komunikace mezi zadavatelem a dodavatelem</w:t>
      </w:r>
      <w:r w:rsidRPr="00EE46E5">
        <w:rPr>
          <w:rFonts w:ascii="Arial" w:hAnsi="Arial" w:cs="Arial"/>
          <w:sz w:val="22"/>
          <w:szCs w:val="22"/>
        </w:rPr>
        <w:t xml:space="preserve"> musí probíhat elektronicky, s výjimkami stanovenými v § 211 odst. 3 zákona.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7" w:name="_Toc464039194"/>
      <w:bookmarkStart w:id="38" w:name="_Toc468796053"/>
      <w:r w:rsidRPr="00EE46E5">
        <w:lastRenderedPageBreak/>
        <w:t>Další ustanovení</w:t>
      </w:r>
      <w:bookmarkEnd w:id="37"/>
      <w:bookmarkEnd w:id="38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Nabídky, které budou doručeny po uplynutí lhůty pro podání nabídek, nebudou otevřeny. Zadavatel bezodkladně vyrozumí dodavatele o tom, že jeho nabídka byla podána po uplynutí lhůty pro podání nabídek.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9" w:name="_Toc464039195"/>
      <w:bookmarkStart w:id="40" w:name="_Toc468796054"/>
      <w:r w:rsidRPr="00EE46E5">
        <w:t>Prohlídka místa plnění</w:t>
      </w:r>
      <w:bookmarkEnd w:id="39"/>
      <w:bookmarkEnd w:id="40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41" w:name="_Toc464039196"/>
      <w:bookmarkStart w:id="42" w:name="_Toc468796055"/>
      <w:r w:rsidRPr="00EE46E5">
        <w:t>Obchodní podmínky</w:t>
      </w:r>
      <w:bookmarkEnd w:id="41"/>
      <w:bookmarkEnd w:id="4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tvoří </w:t>
      </w:r>
      <w:r w:rsidR="00D071FD">
        <w:rPr>
          <w:rFonts w:ascii="Arial" w:hAnsi="Arial" w:cs="Arial"/>
          <w:sz w:val="22"/>
          <w:szCs w:val="22"/>
        </w:rPr>
        <w:t>přílohu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B53DD6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Návrh smlouvy musí být ze strany účastníka zadávacího řízení podepsán účastníkem zadávacího řízení nebo statutárním orgánem účastníka zadávacího řízení nebo jinou osobou prokazatelně oprávněnou zastupovat účastníka zadávacího řízení; v takovém případě doloží účastník zadávacího řízení toto oprávnění v originále či v úředně ověřené kopii v nabídce.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43" w:name="_Toc314828801"/>
      <w:bookmarkStart w:id="44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43"/>
    <w:bookmarkEnd w:id="44"/>
    <w:p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ust.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1) </w:t>
      </w:r>
      <w:r w:rsidR="00F7478C" w:rsidRPr="00EF4D6E">
        <w:rPr>
          <w:rFonts w:ascii="Arial" w:hAnsi="Arial" w:cs="Arial"/>
          <w:spacing w:val="-6"/>
          <w:sz w:val="22"/>
          <w:szCs w:val="22"/>
        </w:rPr>
        <w:t>zákona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>smluv třetím osobám bez předchozího písemného souhlasu objednatele.</w:t>
      </w:r>
    </w:p>
    <w:p w:rsidR="00F63462" w:rsidRPr="00EE46E5" w:rsidRDefault="00666BDB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6BDB">
        <w:rPr>
          <w:rFonts w:ascii="Arial" w:hAnsi="Arial" w:cs="Arial"/>
          <w:spacing w:val="6"/>
          <w:sz w:val="22"/>
          <w:szCs w:val="22"/>
        </w:rPr>
        <w:lastRenderedPageBreak/>
        <w:t>Odpovědi dodavatele, se kterým bude možno uzavřít smlouvu podle § 124 odst. 1) zákona,</w:t>
      </w:r>
      <w:r w:rsidRPr="00666BDB">
        <w:rPr>
          <w:rFonts w:ascii="Arial" w:hAnsi="Arial" w:cs="Arial"/>
          <w:sz w:val="22"/>
          <w:szCs w:val="22"/>
        </w:rPr>
        <w:t xml:space="preserve"> </w:t>
      </w:r>
      <w:r w:rsidRPr="00666BDB">
        <w:rPr>
          <w:rFonts w:ascii="Arial" w:hAnsi="Arial" w:cs="Arial"/>
          <w:spacing w:val="-4"/>
          <w:sz w:val="22"/>
          <w:szCs w:val="22"/>
        </w:rPr>
        <w:t>s dodatkem nebo odchylkou, které podstatně nemění obchodní podmínky učiněné před podpisem</w:t>
      </w:r>
      <w:r w:rsidRPr="00666BDB">
        <w:rPr>
          <w:rFonts w:ascii="Arial" w:hAnsi="Arial" w:cs="Arial"/>
          <w:sz w:val="22"/>
          <w:szCs w:val="22"/>
        </w:rPr>
        <w:t xml:space="preserve"> smlouvy o </w:t>
      </w:r>
      <w:r w:rsidR="005F3E44">
        <w:rPr>
          <w:rFonts w:ascii="Arial" w:hAnsi="Arial" w:cs="Arial"/>
          <w:sz w:val="22"/>
          <w:szCs w:val="22"/>
        </w:rPr>
        <w:t>provedení veřejné zakázky</w:t>
      </w:r>
      <w:r w:rsidRPr="00666BDB">
        <w:rPr>
          <w:rFonts w:ascii="Arial" w:hAnsi="Arial" w:cs="Arial"/>
          <w:sz w:val="22"/>
          <w:szCs w:val="22"/>
        </w:rPr>
        <w:t>, nebudou považovány za přijetí nabídky, i když zadavatel bez zbytečného odkladu takové přijetí neodmítne.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3724C" w:rsidRPr="00EE46E5" w:rsidRDefault="0003724C" w:rsidP="0003724C">
      <w:pPr>
        <w:rPr>
          <w:rFonts w:ascii="Arial" w:hAnsi="Arial" w:cs="Arial"/>
          <w:sz w:val="22"/>
          <w:szCs w:val="22"/>
        </w:rPr>
      </w:pPr>
    </w:p>
    <w:p w:rsidR="006640EF" w:rsidRDefault="006640EF" w:rsidP="006640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Jiří Běhounek</w:t>
      </w:r>
    </w:p>
    <w:p w:rsidR="006640EF" w:rsidRPr="00A91754" w:rsidRDefault="006640EF" w:rsidP="006640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  <w:r w:rsidRPr="00A91754">
        <w:rPr>
          <w:rFonts w:ascii="Arial" w:hAnsi="Arial" w:cs="Arial"/>
          <w:sz w:val="22"/>
          <w:szCs w:val="22"/>
        </w:rPr>
        <w:t xml:space="preserve"> </w:t>
      </w:r>
    </w:p>
    <w:p w:rsidR="0003724C" w:rsidRPr="00296AC8" w:rsidRDefault="0003724C" w:rsidP="0003724C">
      <w:pPr>
        <w:rPr>
          <w:rFonts w:ascii="Arial" w:hAnsi="Arial" w:cs="Arial"/>
          <w:sz w:val="22"/>
          <w:szCs w:val="22"/>
          <w:highlight w:val="yellow"/>
        </w:rPr>
      </w:pPr>
    </w:p>
    <w:sectPr w:rsidR="0003724C" w:rsidRPr="00296AC8" w:rsidSect="00950D1D">
      <w:footerReference w:type="default" r:id="rId11"/>
      <w:footerReference w:type="firs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56" w:rsidRDefault="00DA7856">
      <w:r>
        <w:separator/>
      </w:r>
    </w:p>
  </w:endnote>
  <w:endnote w:type="continuationSeparator" w:id="0">
    <w:p w:rsidR="00DA7856" w:rsidRDefault="00DA7856">
      <w:r>
        <w:continuationSeparator/>
      </w:r>
    </w:p>
  </w:endnote>
  <w:endnote w:type="continuationNotice" w:id="1">
    <w:p w:rsidR="00DA7856" w:rsidRDefault="00DA7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2776C">
      <w:rPr>
        <w:rFonts w:ascii="Arial" w:hAnsi="Arial" w:cs="Arial"/>
        <w:noProof/>
        <w:sz w:val="20"/>
        <w:szCs w:val="20"/>
      </w:rPr>
      <w:t>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2776C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1D" w:rsidRPr="00AF7751" w:rsidRDefault="00950D1D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2776C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72776C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56" w:rsidRDefault="00DA7856">
      <w:r>
        <w:separator/>
      </w:r>
    </w:p>
  </w:footnote>
  <w:footnote w:type="continuationSeparator" w:id="0">
    <w:p w:rsidR="00DA7856" w:rsidRDefault="00DA7856">
      <w:r>
        <w:continuationSeparator/>
      </w:r>
    </w:p>
  </w:footnote>
  <w:footnote w:type="continuationNotice" w:id="1">
    <w:p w:rsidR="00DA7856" w:rsidRDefault="00DA78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7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3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6"/>
  </w:num>
  <w:num w:numId="5">
    <w:abstractNumId w:val="11"/>
  </w:num>
  <w:num w:numId="6">
    <w:abstractNumId w:val="13"/>
  </w:num>
  <w:num w:numId="7">
    <w:abstractNumId w:val="22"/>
  </w:num>
  <w:num w:numId="8">
    <w:abstractNumId w:val="2"/>
  </w:num>
  <w:num w:numId="9">
    <w:abstractNumId w:val="15"/>
  </w:num>
  <w:num w:numId="10">
    <w:abstractNumId w:val="9"/>
  </w:num>
  <w:num w:numId="11">
    <w:abstractNumId w:val="32"/>
  </w:num>
  <w:num w:numId="12">
    <w:abstractNumId w:val="20"/>
  </w:num>
  <w:num w:numId="13">
    <w:abstractNumId w:val="14"/>
  </w:num>
  <w:num w:numId="14">
    <w:abstractNumId w:val="0"/>
  </w:num>
  <w:num w:numId="15">
    <w:abstractNumId w:val="31"/>
  </w:num>
  <w:num w:numId="16">
    <w:abstractNumId w:val="1"/>
  </w:num>
  <w:num w:numId="17">
    <w:abstractNumId w:val="23"/>
  </w:num>
  <w:num w:numId="18">
    <w:abstractNumId w:val="25"/>
  </w:num>
  <w:num w:numId="19">
    <w:abstractNumId w:val="28"/>
  </w:num>
  <w:num w:numId="20">
    <w:abstractNumId w:val="3"/>
  </w:num>
  <w:num w:numId="21">
    <w:abstractNumId w:val="24"/>
  </w:num>
  <w:num w:numId="22">
    <w:abstractNumId w:val="35"/>
  </w:num>
  <w:num w:numId="23">
    <w:abstractNumId w:val="4"/>
  </w:num>
  <w:num w:numId="24">
    <w:abstractNumId w:val="17"/>
  </w:num>
  <w:num w:numId="25">
    <w:abstractNumId w:val="33"/>
  </w:num>
  <w:num w:numId="26">
    <w:abstractNumId w:val="5"/>
  </w:num>
  <w:num w:numId="27">
    <w:abstractNumId w:val="29"/>
  </w:num>
  <w:num w:numId="28">
    <w:abstractNumId w:val="8"/>
  </w:num>
  <w:num w:numId="29">
    <w:abstractNumId w:val="27"/>
  </w:num>
  <w:num w:numId="30">
    <w:abstractNumId w:val="12"/>
  </w:num>
  <w:num w:numId="31">
    <w:abstractNumId w:val="10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60DA"/>
    <w:rsid w:val="00006CA0"/>
    <w:rsid w:val="0001080D"/>
    <w:rsid w:val="00010F8D"/>
    <w:rsid w:val="00015971"/>
    <w:rsid w:val="0001672C"/>
    <w:rsid w:val="00017AAF"/>
    <w:rsid w:val="0002255D"/>
    <w:rsid w:val="0002278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9F5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5E55"/>
    <w:rsid w:val="0013645F"/>
    <w:rsid w:val="00137C61"/>
    <w:rsid w:val="00141993"/>
    <w:rsid w:val="00141EC3"/>
    <w:rsid w:val="001450FF"/>
    <w:rsid w:val="001462D8"/>
    <w:rsid w:val="00150D72"/>
    <w:rsid w:val="00150E58"/>
    <w:rsid w:val="00152D9B"/>
    <w:rsid w:val="001541CD"/>
    <w:rsid w:val="00154C51"/>
    <w:rsid w:val="001554AE"/>
    <w:rsid w:val="0015554C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98F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5E94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40096"/>
    <w:rsid w:val="00240D01"/>
    <w:rsid w:val="00243250"/>
    <w:rsid w:val="00245A06"/>
    <w:rsid w:val="0024612F"/>
    <w:rsid w:val="002463D3"/>
    <w:rsid w:val="00247150"/>
    <w:rsid w:val="0025010C"/>
    <w:rsid w:val="0025010F"/>
    <w:rsid w:val="00252146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74D6"/>
    <w:rsid w:val="00286A2A"/>
    <w:rsid w:val="0029341B"/>
    <w:rsid w:val="002945C8"/>
    <w:rsid w:val="00294A9B"/>
    <w:rsid w:val="00296AC8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E7BCD"/>
    <w:rsid w:val="002F0B3C"/>
    <w:rsid w:val="002F2D37"/>
    <w:rsid w:val="002F7F05"/>
    <w:rsid w:val="0030143B"/>
    <w:rsid w:val="003035DC"/>
    <w:rsid w:val="003045FA"/>
    <w:rsid w:val="00304861"/>
    <w:rsid w:val="00305C7F"/>
    <w:rsid w:val="003104FF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1FF3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4233D"/>
    <w:rsid w:val="0034373C"/>
    <w:rsid w:val="00343ED9"/>
    <w:rsid w:val="003509F6"/>
    <w:rsid w:val="00350BD0"/>
    <w:rsid w:val="00350C41"/>
    <w:rsid w:val="003519A1"/>
    <w:rsid w:val="00352606"/>
    <w:rsid w:val="00352744"/>
    <w:rsid w:val="003536E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77448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7933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6D26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C6270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BD6"/>
    <w:rsid w:val="005574F7"/>
    <w:rsid w:val="00557EFA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6AF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3D6"/>
    <w:rsid w:val="00617C1F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F30"/>
    <w:rsid w:val="00647650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9AF"/>
    <w:rsid w:val="00696FAB"/>
    <w:rsid w:val="006A0BC5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76C"/>
    <w:rsid w:val="00727D25"/>
    <w:rsid w:val="0073383A"/>
    <w:rsid w:val="00734445"/>
    <w:rsid w:val="007348C0"/>
    <w:rsid w:val="00735532"/>
    <w:rsid w:val="00735F13"/>
    <w:rsid w:val="0073622D"/>
    <w:rsid w:val="00736E1A"/>
    <w:rsid w:val="00740068"/>
    <w:rsid w:val="0074016A"/>
    <w:rsid w:val="0074079B"/>
    <w:rsid w:val="00740998"/>
    <w:rsid w:val="007410EC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2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5AE2"/>
    <w:rsid w:val="00785DEA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8FD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6BF0"/>
    <w:rsid w:val="00836D37"/>
    <w:rsid w:val="00837836"/>
    <w:rsid w:val="0084035D"/>
    <w:rsid w:val="00840740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7EAE"/>
    <w:rsid w:val="00921E5A"/>
    <w:rsid w:val="00921F80"/>
    <w:rsid w:val="00924347"/>
    <w:rsid w:val="009255C0"/>
    <w:rsid w:val="009279E4"/>
    <w:rsid w:val="00927BBE"/>
    <w:rsid w:val="0093015C"/>
    <w:rsid w:val="00931975"/>
    <w:rsid w:val="00932E45"/>
    <w:rsid w:val="009353EB"/>
    <w:rsid w:val="009361FE"/>
    <w:rsid w:val="00936D46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5212"/>
    <w:rsid w:val="009769D1"/>
    <w:rsid w:val="00977531"/>
    <w:rsid w:val="0098240C"/>
    <w:rsid w:val="009861A3"/>
    <w:rsid w:val="00986AB1"/>
    <w:rsid w:val="00987209"/>
    <w:rsid w:val="00987301"/>
    <w:rsid w:val="00987841"/>
    <w:rsid w:val="009935E9"/>
    <w:rsid w:val="00994EDA"/>
    <w:rsid w:val="00995BDE"/>
    <w:rsid w:val="009977A9"/>
    <w:rsid w:val="009A222F"/>
    <w:rsid w:val="009A461B"/>
    <w:rsid w:val="009A58EE"/>
    <w:rsid w:val="009A707D"/>
    <w:rsid w:val="009A71F9"/>
    <w:rsid w:val="009A7DD4"/>
    <w:rsid w:val="009B0CED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FDB"/>
    <w:rsid w:val="009D33A9"/>
    <w:rsid w:val="009D3C88"/>
    <w:rsid w:val="009D3F3D"/>
    <w:rsid w:val="009D7526"/>
    <w:rsid w:val="009E17A3"/>
    <w:rsid w:val="009E17D2"/>
    <w:rsid w:val="009E1EE3"/>
    <w:rsid w:val="009E2285"/>
    <w:rsid w:val="009E3336"/>
    <w:rsid w:val="009E4650"/>
    <w:rsid w:val="009E5CAA"/>
    <w:rsid w:val="009E61ED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ED8"/>
    <w:rsid w:val="00A81636"/>
    <w:rsid w:val="00A8445A"/>
    <w:rsid w:val="00A8612F"/>
    <w:rsid w:val="00A90203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C0048"/>
    <w:rsid w:val="00AC09A2"/>
    <w:rsid w:val="00AC1A16"/>
    <w:rsid w:val="00AC2698"/>
    <w:rsid w:val="00AC3150"/>
    <w:rsid w:val="00AC59C4"/>
    <w:rsid w:val="00AC685F"/>
    <w:rsid w:val="00AC7FBD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3DD6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BE"/>
    <w:rsid w:val="00BD13F6"/>
    <w:rsid w:val="00BD2435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70180"/>
    <w:rsid w:val="00C74CCF"/>
    <w:rsid w:val="00C753D3"/>
    <w:rsid w:val="00C75FB7"/>
    <w:rsid w:val="00C7620A"/>
    <w:rsid w:val="00C765B0"/>
    <w:rsid w:val="00C76AD6"/>
    <w:rsid w:val="00C76B0B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9D0"/>
    <w:rsid w:val="00C86E9C"/>
    <w:rsid w:val="00C92943"/>
    <w:rsid w:val="00C92AD7"/>
    <w:rsid w:val="00C93195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6"/>
    <w:rsid w:val="00CF6C78"/>
    <w:rsid w:val="00CF7059"/>
    <w:rsid w:val="00CF7BBA"/>
    <w:rsid w:val="00D00FDE"/>
    <w:rsid w:val="00D0352B"/>
    <w:rsid w:val="00D035A2"/>
    <w:rsid w:val="00D04ADF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3E7A"/>
    <w:rsid w:val="00D54D24"/>
    <w:rsid w:val="00D552BC"/>
    <w:rsid w:val="00D57E81"/>
    <w:rsid w:val="00D602AF"/>
    <w:rsid w:val="00D602E5"/>
    <w:rsid w:val="00D61644"/>
    <w:rsid w:val="00D6235A"/>
    <w:rsid w:val="00D62AA9"/>
    <w:rsid w:val="00D64040"/>
    <w:rsid w:val="00D65C76"/>
    <w:rsid w:val="00D67674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A03AF"/>
    <w:rsid w:val="00DA070C"/>
    <w:rsid w:val="00DA07F0"/>
    <w:rsid w:val="00DA10CA"/>
    <w:rsid w:val="00DA167E"/>
    <w:rsid w:val="00DA4151"/>
    <w:rsid w:val="00DA6D14"/>
    <w:rsid w:val="00DA712A"/>
    <w:rsid w:val="00DA77DC"/>
    <w:rsid w:val="00DA7856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581C"/>
    <w:rsid w:val="00DF6D32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39A8"/>
    <w:rsid w:val="00E13DA4"/>
    <w:rsid w:val="00E15168"/>
    <w:rsid w:val="00E1622C"/>
    <w:rsid w:val="00E16B66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59DC"/>
    <w:rsid w:val="00E3602C"/>
    <w:rsid w:val="00E373DA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046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B3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A06A4"/>
    <w:rsid w:val="00FA306D"/>
    <w:rsid w:val="00FA47BB"/>
    <w:rsid w:val="00FA496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alenta.l@kr-vysocin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534DD-77BB-4B46-91C2-2FC33A0A8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11</Pages>
  <Words>4043</Words>
  <Characters>23854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27842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Valenta Lukáš Ing.</cp:lastModifiedBy>
  <cp:revision>43</cp:revision>
  <cp:lastPrinted>2018-04-10T09:10:00Z</cp:lastPrinted>
  <dcterms:created xsi:type="dcterms:W3CDTF">2018-06-11T13:27:00Z</dcterms:created>
  <dcterms:modified xsi:type="dcterms:W3CDTF">2018-06-19T10:33:00Z</dcterms:modified>
</cp:coreProperties>
</file>